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C1B79">
      <w:pPr>
        <w:spacing w:line="240" w:lineRule="atLeast"/>
        <w:jc w:val="center"/>
        <w:rPr>
          <w:rFonts w:ascii="Times New Roman" w:hAnsi="Times New Roman" w:cs="Times New Roman"/>
          <w:color w:val="FF0000"/>
          <w:sz w:val="32"/>
          <w:szCs w:val="32"/>
        </w:rPr>
      </w:pPr>
      <w:r>
        <w:rPr>
          <w:rFonts w:ascii="Times New Roman" w:hAnsi="Times New Roman" w:cs="Times New Roman"/>
          <w:color w:val="FF0000"/>
          <w:sz w:val="32"/>
          <w:szCs w:val="32"/>
        </w:rPr>
        <w:drawing>
          <wp:anchor distT="0" distB="0" distL="114300" distR="114300" simplePos="0" relativeHeight="251659264" behindDoc="0" locked="0" layoutInCell="1" allowOverlap="1">
            <wp:simplePos x="0" y="0"/>
            <wp:positionH relativeFrom="column">
              <wp:posOffset>-287020</wp:posOffset>
            </wp:positionH>
            <wp:positionV relativeFrom="paragraph">
              <wp:posOffset>-33020</wp:posOffset>
            </wp:positionV>
            <wp:extent cx="1868170" cy="472440"/>
            <wp:effectExtent l="0" t="0" r="8255" b="0"/>
            <wp:wrapNone/>
            <wp:docPr id="1" name="图片 1" descr="集团新标识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新标识1_副本"/>
                    <pic:cNvPicPr>
                      <a:picLocks noChangeAspect="1"/>
                    </pic:cNvPicPr>
                  </pic:nvPicPr>
                  <pic:blipFill>
                    <a:blip r:embed="rId7"/>
                    <a:stretch>
                      <a:fillRect/>
                    </a:stretch>
                  </pic:blipFill>
                  <pic:spPr>
                    <a:xfrm>
                      <a:off x="0" y="0"/>
                      <a:ext cx="1868170" cy="472440"/>
                    </a:xfrm>
                    <a:prstGeom prst="rect">
                      <a:avLst/>
                    </a:prstGeom>
                    <a:noFill/>
                    <a:ln>
                      <a:noFill/>
                    </a:ln>
                  </pic:spPr>
                </pic:pic>
              </a:graphicData>
            </a:graphic>
          </wp:anchor>
        </w:drawing>
      </w:r>
    </w:p>
    <w:p w14:paraId="159E25B6">
      <w:pPr>
        <w:spacing w:line="240" w:lineRule="atLeast"/>
        <w:jc w:val="center"/>
        <w:rPr>
          <w:rFonts w:ascii="Times New Roman" w:hAnsi="Times New Roman" w:cs="Times New Roman"/>
          <w:sz w:val="32"/>
          <w:szCs w:val="32"/>
        </w:rPr>
      </w:pPr>
    </w:p>
    <w:p w14:paraId="20596229">
      <w:pPr>
        <w:spacing w:line="240" w:lineRule="atLeast"/>
        <w:jc w:val="center"/>
        <w:rPr>
          <w:rFonts w:ascii="Times New Roman" w:hAnsi="Times New Roman" w:cs="Times New Roman"/>
          <w:sz w:val="32"/>
          <w:szCs w:val="32"/>
        </w:rPr>
      </w:pPr>
    </w:p>
    <w:p w14:paraId="70542ACF">
      <w:pPr>
        <w:spacing w:line="240" w:lineRule="atLeast"/>
        <w:ind w:left="-142" w:leftChars="-59"/>
        <w:jc w:val="center"/>
        <w:rPr>
          <w:rFonts w:hint="eastAsia" w:ascii="华文中宋" w:hAnsi="华文中宋" w:eastAsia="华文中宋"/>
          <w:bCs/>
          <w:sz w:val="52"/>
          <w:szCs w:val="52"/>
        </w:rPr>
      </w:pPr>
      <w:r>
        <w:rPr>
          <w:rFonts w:hint="eastAsia" w:ascii="华文中宋" w:hAnsi="华文中宋" w:eastAsia="华文中宋"/>
          <w:bCs/>
          <w:sz w:val="52"/>
          <w:szCs w:val="52"/>
        </w:rPr>
        <w:t>中关村发展集团股份有限公司</w:t>
      </w:r>
    </w:p>
    <w:p w14:paraId="22020607">
      <w:pPr>
        <w:spacing w:line="240" w:lineRule="atLeast"/>
        <w:ind w:left="-142" w:leftChars="-59"/>
        <w:jc w:val="center"/>
        <w:rPr>
          <w:rFonts w:hint="eastAsia" w:ascii="华文中宋" w:hAnsi="华文中宋" w:eastAsia="华文中宋" w:cs="Times New Roman"/>
          <w:b/>
          <w:sz w:val="52"/>
          <w:szCs w:val="52"/>
        </w:rPr>
      </w:pPr>
      <w:r>
        <w:rPr>
          <w:rFonts w:hint="eastAsia" w:ascii="华文中宋" w:hAnsi="华文中宋" w:eastAsia="华文中宋"/>
          <w:bCs/>
          <w:sz w:val="52"/>
          <w:szCs w:val="52"/>
        </w:rPr>
        <w:t>网络安全设备采购项目</w:t>
      </w:r>
    </w:p>
    <w:p w14:paraId="314DEDCC">
      <w:pPr>
        <w:spacing w:line="240" w:lineRule="atLeast"/>
        <w:jc w:val="center"/>
        <w:rPr>
          <w:rFonts w:ascii="Times New Roman" w:hAnsi="Times New Roman" w:cs="Times New Roman"/>
          <w:sz w:val="32"/>
          <w:szCs w:val="32"/>
        </w:rPr>
      </w:pPr>
    </w:p>
    <w:p w14:paraId="785FB837">
      <w:pPr>
        <w:spacing w:line="240" w:lineRule="atLeast"/>
        <w:jc w:val="center"/>
        <w:rPr>
          <w:rFonts w:ascii="Times New Roman" w:hAnsi="Times New Roman" w:eastAsia="黑体" w:cs="Times New Roman"/>
          <w:b/>
          <w:sz w:val="84"/>
          <w:szCs w:val="84"/>
        </w:rPr>
      </w:pPr>
      <w:r>
        <w:rPr>
          <w:rFonts w:ascii="Times New Roman" w:hAnsi="Times New Roman" w:eastAsia="黑体" w:cs="Times New Roman"/>
          <w:b/>
          <w:sz w:val="84"/>
          <w:szCs w:val="84"/>
        </w:rPr>
        <w:t>招标文件</w:t>
      </w:r>
    </w:p>
    <w:p w14:paraId="7955F7AF">
      <w:pPr>
        <w:spacing w:line="240" w:lineRule="atLeast"/>
        <w:jc w:val="center"/>
        <w:rPr>
          <w:rFonts w:ascii="Times New Roman" w:hAnsi="Times New Roman" w:cs="Times New Roman"/>
          <w:sz w:val="32"/>
          <w:szCs w:val="32"/>
        </w:rPr>
      </w:pPr>
    </w:p>
    <w:p w14:paraId="0CA550C4">
      <w:pPr>
        <w:spacing w:line="240" w:lineRule="atLeast"/>
        <w:jc w:val="center"/>
        <w:rPr>
          <w:rFonts w:ascii="Times New Roman" w:hAnsi="Times New Roman" w:cs="Times New Roman"/>
          <w:sz w:val="32"/>
          <w:szCs w:val="32"/>
        </w:rPr>
      </w:pPr>
    </w:p>
    <w:p w14:paraId="36BD4EB2">
      <w:pPr>
        <w:spacing w:line="240" w:lineRule="atLeast"/>
        <w:jc w:val="center"/>
        <w:rPr>
          <w:rFonts w:ascii="Times New Roman" w:hAnsi="Times New Roman" w:eastAsia="黑体" w:cs="Times New Roman"/>
          <w:b/>
          <w:sz w:val="36"/>
          <w:szCs w:val="36"/>
        </w:rPr>
      </w:pPr>
      <w:r>
        <w:rPr>
          <w:rFonts w:ascii="Times New Roman" w:hAnsi="Times New Roman" w:eastAsia="黑体" w:cs="Times New Roman"/>
          <w:b/>
          <w:sz w:val="36"/>
          <w:szCs w:val="36"/>
        </w:rPr>
        <w:t>招标编号：</w:t>
      </w:r>
      <w:r>
        <w:rPr>
          <w:rFonts w:hint="eastAsia" w:ascii="Times New Roman" w:hAnsi="Times New Roman" w:eastAsia="黑体" w:cs="Times New Roman"/>
          <w:b/>
          <w:sz w:val="36"/>
          <w:szCs w:val="36"/>
        </w:rPr>
        <w:t>BIECC-25CG10365</w:t>
      </w:r>
    </w:p>
    <w:p w14:paraId="50C3CF64">
      <w:pPr>
        <w:spacing w:line="240" w:lineRule="atLeast"/>
        <w:jc w:val="center"/>
        <w:rPr>
          <w:rFonts w:ascii="Times New Roman" w:hAnsi="Times New Roman" w:cs="Times New Roman"/>
          <w:sz w:val="32"/>
          <w:szCs w:val="32"/>
        </w:rPr>
      </w:pPr>
    </w:p>
    <w:p w14:paraId="19ED655A">
      <w:pPr>
        <w:spacing w:line="240" w:lineRule="atLeast"/>
        <w:jc w:val="center"/>
        <w:rPr>
          <w:rFonts w:ascii="Times New Roman" w:hAnsi="Times New Roman" w:cs="Times New Roman"/>
          <w:sz w:val="32"/>
          <w:szCs w:val="32"/>
        </w:rPr>
      </w:pPr>
    </w:p>
    <w:p w14:paraId="15BEC11C">
      <w:pPr>
        <w:spacing w:line="240" w:lineRule="atLeast"/>
        <w:jc w:val="center"/>
        <w:rPr>
          <w:rFonts w:ascii="Times New Roman" w:hAnsi="Times New Roman" w:cs="Times New Roman"/>
          <w:sz w:val="32"/>
          <w:szCs w:val="32"/>
        </w:rPr>
      </w:pPr>
    </w:p>
    <w:p w14:paraId="68218832">
      <w:pPr>
        <w:tabs>
          <w:tab w:val="left" w:pos="7377"/>
        </w:tabs>
        <w:spacing w:line="240" w:lineRule="atLeast"/>
        <w:jc w:val="center"/>
        <w:rPr>
          <w:rFonts w:ascii="Times New Roman" w:hAnsi="Times New Roman" w:cs="Times New Roman"/>
          <w:b/>
        </w:rPr>
      </w:pPr>
      <w:r>
        <w:rPr>
          <w:rFonts w:ascii="Times New Roman" w:hAnsi="Times New Roman" w:cs="Times New Roman"/>
        </w:rPr>
        <w:drawing>
          <wp:inline distT="0" distB="0" distL="114300" distR="114300">
            <wp:extent cx="654050" cy="504190"/>
            <wp:effectExtent l="0" t="0" r="317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54050" cy="504190"/>
                    </a:xfrm>
                    <a:prstGeom prst="rect">
                      <a:avLst/>
                    </a:prstGeom>
                    <a:noFill/>
                    <a:ln>
                      <a:noFill/>
                    </a:ln>
                  </pic:spPr>
                </pic:pic>
              </a:graphicData>
            </a:graphic>
          </wp:inline>
        </w:drawing>
      </w:r>
    </w:p>
    <w:p w14:paraId="29765864">
      <w:pPr>
        <w:spacing w:line="240" w:lineRule="atLeast"/>
        <w:jc w:val="center"/>
        <w:rPr>
          <w:rFonts w:ascii="Times New Roman" w:hAnsi="Times New Roman" w:eastAsia="黑体" w:cs="Times New Roman"/>
          <w:b/>
          <w:sz w:val="36"/>
          <w:szCs w:val="36"/>
        </w:rPr>
      </w:pPr>
      <w:r>
        <w:rPr>
          <w:rFonts w:ascii="Times New Roman" w:hAnsi="Times New Roman" w:eastAsia="黑体" w:cs="Times New Roman"/>
          <w:b/>
          <w:sz w:val="36"/>
          <w:szCs w:val="36"/>
        </w:rPr>
        <w:t>北京国际工程咨询有限公司</w:t>
      </w:r>
    </w:p>
    <w:p w14:paraId="77232750">
      <w:pPr>
        <w:spacing w:line="240" w:lineRule="atLeast"/>
        <w:jc w:val="center"/>
        <w:rPr>
          <w:rFonts w:ascii="Times New Roman" w:hAnsi="Times New Roman" w:eastAsia="黑体" w:cs="Times New Roman"/>
          <w:b/>
          <w:sz w:val="36"/>
          <w:szCs w:val="36"/>
        </w:rPr>
      </w:pPr>
      <w:r>
        <w:rPr>
          <w:rFonts w:ascii="Times New Roman" w:hAnsi="Times New Roman" w:eastAsia="黑体" w:cs="Times New Roman"/>
          <w:b/>
          <w:sz w:val="36"/>
          <w:szCs w:val="36"/>
        </w:rPr>
        <w:t>202</w:t>
      </w:r>
      <w:r>
        <w:rPr>
          <w:rFonts w:hint="eastAsia" w:ascii="Times New Roman" w:hAnsi="Times New Roman" w:eastAsia="黑体" w:cs="Times New Roman"/>
          <w:b/>
          <w:sz w:val="36"/>
          <w:szCs w:val="36"/>
        </w:rPr>
        <w:t>5</w:t>
      </w:r>
      <w:r>
        <w:rPr>
          <w:rFonts w:ascii="Times New Roman" w:hAnsi="Times New Roman" w:eastAsia="黑体" w:cs="Times New Roman"/>
          <w:b/>
          <w:sz w:val="36"/>
          <w:szCs w:val="36"/>
        </w:rPr>
        <w:t>年</w:t>
      </w:r>
      <w:r>
        <w:rPr>
          <w:rFonts w:hint="eastAsia" w:ascii="Times New Roman" w:hAnsi="Times New Roman" w:eastAsia="黑体" w:cs="Times New Roman"/>
          <w:b/>
          <w:sz w:val="36"/>
          <w:szCs w:val="36"/>
          <w:lang w:val="en-US" w:eastAsia="zh-CN"/>
        </w:rPr>
        <w:t>7</w:t>
      </w:r>
      <w:r>
        <w:rPr>
          <w:rFonts w:ascii="Times New Roman" w:hAnsi="Times New Roman" w:eastAsia="黑体" w:cs="Times New Roman"/>
          <w:b/>
          <w:sz w:val="36"/>
          <w:szCs w:val="36"/>
        </w:rPr>
        <w:t>月</w:t>
      </w:r>
    </w:p>
    <w:p w14:paraId="3C1D8565">
      <w:pPr>
        <w:rPr>
          <w:rFonts w:ascii="Times New Roman" w:hAnsi="Times New Roman" w:cs="Times New Roman"/>
        </w:rPr>
      </w:pPr>
      <w:r>
        <w:rPr>
          <w:rFonts w:ascii="Times New Roman" w:hAnsi="Times New Roman" w:cs="Times New Roman"/>
        </w:rPr>
        <w:br w:type="page"/>
      </w:r>
    </w:p>
    <w:p w14:paraId="1A41844F">
      <w:pPr>
        <w:rPr>
          <w:rFonts w:ascii="Times New Roman" w:hAnsi="Times New Roman" w:cs="Times New Roman"/>
        </w:rPr>
      </w:pPr>
    </w:p>
    <w:p w14:paraId="73ACF3DB">
      <w:pPr>
        <w:rPr>
          <w:rFonts w:ascii="Times New Roman" w:hAnsi="Times New Roman" w:cs="Times New Roman"/>
        </w:rPr>
      </w:pPr>
    </w:p>
    <w:p w14:paraId="6807D793">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目  录</w:t>
      </w:r>
    </w:p>
    <w:p w14:paraId="60FA8BBB">
      <w:pPr>
        <w:rPr>
          <w:rFonts w:ascii="Times New Roman" w:hAnsi="Times New Roman" w:eastAsia="黑体" w:cs="Times New Roman"/>
        </w:rPr>
      </w:pPr>
    </w:p>
    <w:p w14:paraId="4C3C0E78">
      <w:pPr>
        <w:pStyle w:val="20"/>
        <w:tabs>
          <w:tab w:val="right" w:leader="dot" w:pos="8640"/>
        </w:tabs>
        <w:rPr>
          <w:rFonts w:hint="eastAsia"/>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r>
        <w:fldChar w:fldCharType="begin"/>
      </w:r>
      <w:r>
        <w:instrText xml:space="preserve"> HYPERLINK \l "_Toc30057" </w:instrText>
      </w:r>
      <w:r>
        <w:fldChar w:fldCharType="separate"/>
      </w:r>
      <w:r>
        <w:rPr>
          <w:rFonts w:ascii="Times New Roman" w:hAnsi="Times New Roman" w:eastAsia="黑体" w:cs="Times New Roman"/>
          <w:sz w:val="28"/>
          <w:szCs w:val="28"/>
        </w:rPr>
        <w:t>第一章 投标邀请</w:t>
      </w:r>
      <w:r>
        <w:rPr>
          <w:sz w:val="28"/>
          <w:szCs w:val="28"/>
        </w:rPr>
        <w:tab/>
      </w:r>
      <w:r>
        <w:rPr>
          <w:sz w:val="28"/>
          <w:szCs w:val="28"/>
        </w:rPr>
        <w:fldChar w:fldCharType="begin"/>
      </w:r>
      <w:r>
        <w:rPr>
          <w:sz w:val="28"/>
          <w:szCs w:val="28"/>
        </w:rPr>
        <w:instrText xml:space="preserve"> PAGEREF _Toc30057 \h </w:instrText>
      </w:r>
      <w:r>
        <w:rPr>
          <w:sz w:val="28"/>
          <w:szCs w:val="28"/>
        </w:rPr>
        <w:fldChar w:fldCharType="separate"/>
      </w:r>
      <w:r>
        <w:rPr>
          <w:sz w:val="28"/>
          <w:szCs w:val="28"/>
        </w:rPr>
        <w:t>3</w:t>
      </w:r>
      <w:r>
        <w:rPr>
          <w:sz w:val="28"/>
          <w:szCs w:val="28"/>
        </w:rPr>
        <w:fldChar w:fldCharType="end"/>
      </w:r>
      <w:r>
        <w:rPr>
          <w:sz w:val="28"/>
          <w:szCs w:val="28"/>
        </w:rPr>
        <w:fldChar w:fldCharType="end"/>
      </w:r>
    </w:p>
    <w:p w14:paraId="62481D6B">
      <w:pPr>
        <w:pStyle w:val="20"/>
        <w:tabs>
          <w:tab w:val="right" w:leader="dot" w:pos="8640"/>
        </w:tabs>
        <w:rPr>
          <w:rFonts w:hint="eastAsia"/>
          <w:sz w:val="28"/>
          <w:szCs w:val="28"/>
        </w:rPr>
      </w:pPr>
      <w:r>
        <w:fldChar w:fldCharType="begin"/>
      </w:r>
      <w:r>
        <w:instrText xml:space="preserve"> HYPERLINK \l "_Toc8161" </w:instrText>
      </w:r>
      <w:r>
        <w:fldChar w:fldCharType="separate"/>
      </w:r>
      <w:r>
        <w:rPr>
          <w:rFonts w:ascii="Times New Roman" w:hAnsi="Times New Roman" w:eastAsia="黑体" w:cs="Times New Roman"/>
          <w:sz w:val="28"/>
          <w:szCs w:val="28"/>
        </w:rPr>
        <w:t>第二章 投标人须知</w:t>
      </w:r>
      <w:r>
        <w:rPr>
          <w:sz w:val="28"/>
          <w:szCs w:val="28"/>
        </w:rPr>
        <w:tab/>
      </w:r>
      <w:r>
        <w:rPr>
          <w:sz w:val="28"/>
          <w:szCs w:val="28"/>
        </w:rPr>
        <w:fldChar w:fldCharType="begin"/>
      </w:r>
      <w:r>
        <w:rPr>
          <w:sz w:val="28"/>
          <w:szCs w:val="28"/>
        </w:rPr>
        <w:instrText xml:space="preserve"> PAGEREF _Toc8161 \h </w:instrText>
      </w:r>
      <w:r>
        <w:rPr>
          <w:sz w:val="28"/>
          <w:szCs w:val="28"/>
        </w:rPr>
        <w:fldChar w:fldCharType="separate"/>
      </w:r>
      <w:r>
        <w:rPr>
          <w:sz w:val="28"/>
          <w:szCs w:val="28"/>
        </w:rPr>
        <w:t>6</w:t>
      </w:r>
      <w:r>
        <w:rPr>
          <w:sz w:val="28"/>
          <w:szCs w:val="28"/>
        </w:rPr>
        <w:fldChar w:fldCharType="end"/>
      </w:r>
      <w:r>
        <w:rPr>
          <w:sz w:val="28"/>
          <w:szCs w:val="28"/>
        </w:rPr>
        <w:fldChar w:fldCharType="end"/>
      </w:r>
    </w:p>
    <w:p w14:paraId="770DA023">
      <w:pPr>
        <w:pStyle w:val="20"/>
        <w:tabs>
          <w:tab w:val="right" w:leader="dot" w:pos="8640"/>
        </w:tabs>
        <w:rPr>
          <w:rFonts w:hint="eastAsia"/>
          <w:sz w:val="28"/>
          <w:szCs w:val="28"/>
        </w:rPr>
      </w:pPr>
      <w:r>
        <w:fldChar w:fldCharType="begin"/>
      </w:r>
      <w:r>
        <w:instrText xml:space="preserve"> HYPERLINK \l "_Toc12592" </w:instrText>
      </w:r>
      <w:r>
        <w:fldChar w:fldCharType="separate"/>
      </w:r>
      <w:r>
        <w:rPr>
          <w:rFonts w:ascii="Times New Roman" w:hAnsi="Times New Roman" w:eastAsia="黑体" w:cs="Times New Roman"/>
          <w:sz w:val="28"/>
          <w:szCs w:val="28"/>
        </w:rPr>
        <w:t>第三章 合同主要条款</w:t>
      </w:r>
      <w:r>
        <w:rPr>
          <w:sz w:val="28"/>
          <w:szCs w:val="28"/>
        </w:rPr>
        <w:tab/>
      </w:r>
      <w:r>
        <w:rPr>
          <w:sz w:val="28"/>
          <w:szCs w:val="28"/>
        </w:rPr>
        <w:fldChar w:fldCharType="begin"/>
      </w:r>
      <w:r>
        <w:rPr>
          <w:sz w:val="28"/>
          <w:szCs w:val="28"/>
        </w:rPr>
        <w:instrText xml:space="preserve"> PAGEREF _Toc12592 \h </w:instrText>
      </w:r>
      <w:r>
        <w:rPr>
          <w:sz w:val="28"/>
          <w:szCs w:val="28"/>
        </w:rPr>
        <w:fldChar w:fldCharType="separate"/>
      </w:r>
      <w:r>
        <w:rPr>
          <w:sz w:val="28"/>
          <w:szCs w:val="28"/>
        </w:rPr>
        <w:t>23</w:t>
      </w:r>
      <w:r>
        <w:rPr>
          <w:sz w:val="28"/>
          <w:szCs w:val="28"/>
        </w:rPr>
        <w:fldChar w:fldCharType="end"/>
      </w:r>
      <w:r>
        <w:rPr>
          <w:sz w:val="28"/>
          <w:szCs w:val="28"/>
        </w:rPr>
        <w:fldChar w:fldCharType="end"/>
      </w:r>
    </w:p>
    <w:p w14:paraId="0AA7FBAD">
      <w:pPr>
        <w:pStyle w:val="20"/>
        <w:tabs>
          <w:tab w:val="right" w:leader="dot" w:pos="8640"/>
        </w:tabs>
        <w:rPr>
          <w:rFonts w:hint="eastAsia"/>
          <w:sz w:val="28"/>
          <w:szCs w:val="28"/>
        </w:rPr>
      </w:pPr>
      <w:r>
        <w:fldChar w:fldCharType="begin"/>
      </w:r>
      <w:r>
        <w:instrText xml:space="preserve"> HYPERLINK \l "_Toc5460" </w:instrText>
      </w:r>
      <w:r>
        <w:fldChar w:fldCharType="separate"/>
      </w:r>
      <w:r>
        <w:rPr>
          <w:rFonts w:ascii="Times New Roman" w:hAnsi="Times New Roman" w:eastAsia="黑体" w:cs="Times New Roman"/>
          <w:sz w:val="28"/>
          <w:szCs w:val="28"/>
        </w:rPr>
        <w:t>第四章 服务需求及要求</w:t>
      </w:r>
      <w:r>
        <w:rPr>
          <w:sz w:val="28"/>
          <w:szCs w:val="28"/>
        </w:rPr>
        <w:tab/>
      </w:r>
      <w:r>
        <w:rPr>
          <w:sz w:val="28"/>
          <w:szCs w:val="28"/>
        </w:rPr>
        <w:fldChar w:fldCharType="begin"/>
      </w:r>
      <w:r>
        <w:rPr>
          <w:sz w:val="28"/>
          <w:szCs w:val="28"/>
        </w:rPr>
        <w:instrText xml:space="preserve"> PAGEREF _Toc5460 \h </w:instrText>
      </w:r>
      <w:r>
        <w:rPr>
          <w:sz w:val="28"/>
          <w:szCs w:val="28"/>
        </w:rPr>
        <w:fldChar w:fldCharType="separate"/>
      </w:r>
      <w:r>
        <w:rPr>
          <w:sz w:val="28"/>
          <w:szCs w:val="28"/>
        </w:rPr>
        <w:t>33</w:t>
      </w:r>
      <w:r>
        <w:rPr>
          <w:sz w:val="28"/>
          <w:szCs w:val="28"/>
        </w:rPr>
        <w:fldChar w:fldCharType="end"/>
      </w:r>
      <w:r>
        <w:rPr>
          <w:sz w:val="28"/>
          <w:szCs w:val="28"/>
        </w:rPr>
        <w:fldChar w:fldCharType="end"/>
      </w:r>
    </w:p>
    <w:p w14:paraId="6DD6E1CF">
      <w:pPr>
        <w:pStyle w:val="20"/>
        <w:tabs>
          <w:tab w:val="right" w:leader="dot" w:pos="8640"/>
        </w:tabs>
        <w:rPr>
          <w:rFonts w:hint="eastAsia"/>
          <w:sz w:val="28"/>
          <w:szCs w:val="28"/>
        </w:rPr>
      </w:pPr>
      <w:r>
        <w:fldChar w:fldCharType="begin"/>
      </w:r>
      <w:r>
        <w:instrText xml:space="preserve"> HYPERLINK \l "_Toc30362" </w:instrText>
      </w:r>
      <w:r>
        <w:fldChar w:fldCharType="separate"/>
      </w:r>
      <w:r>
        <w:rPr>
          <w:rFonts w:ascii="Times New Roman" w:hAnsi="Times New Roman" w:eastAsia="黑体" w:cs="Times New Roman"/>
          <w:sz w:val="28"/>
          <w:szCs w:val="28"/>
        </w:rPr>
        <w:t>第五章 附件--投标文件格式</w:t>
      </w:r>
      <w:r>
        <w:rPr>
          <w:sz w:val="28"/>
          <w:szCs w:val="28"/>
        </w:rPr>
        <w:tab/>
      </w:r>
      <w:r>
        <w:rPr>
          <w:sz w:val="28"/>
          <w:szCs w:val="28"/>
        </w:rPr>
        <w:fldChar w:fldCharType="begin"/>
      </w:r>
      <w:r>
        <w:rPr>
          <w:sz w:val="28"/>
          <w:szCs w:val="28"/>
        </w:rPr>
        <w:instrText xml:space="preserve"> PAGEREF _Toc30362 \h </w:instrText>
      </w:r>
      <w:r>
        <w:rPr>
          <w:sz w:val="28"/>
          <w:szCs w:val="28"/>
        </w:rPr>
        <w:fldChar w:fldCharType="separate"/>
      </w:r>
      <w:r>
        <w:rPr>
          <w:sz w:val="28"/>
          <w:szCs w:val="28"/>
        </w:rPr>
        <w:t>61</w:t>
      </w:r>
      <w:r>
        <w:rPr>
          <w:sz w:val="28"/>
          <w:szCs w:val="28"/>
        </w:rPr>
        <w:fldChar w:fldCharType="end"/>
      </w:r>
      <w:r>
        <w:rPr>
          <w:sz w:val="28"/>
          <w:szCs w:val="28"/>
        </w:rPr>
        <w:fldChar w:fldCharType="end"/>
      </w:r>
    </w:p>
    <w:p w14:paraId="57F3C39D">
      <w:pPr>
        <w:pStyle w:val="20"/>
        <w:tabs>
          <w:tab w:val="right" w:leader="dot" w:pos="8640"/>
        </w:tabs>
        <w:rPr>
          <w:rFonts w:hint="eastAsia"/>
          <w:sz w:val="28"/>
          <w:szCs w:val="28"/>
        </w:rPr>
      </w:pPr>
      <w:r>
        <w:fldChar w:fldCharType="begin"/>
      </w:r>
      <w:r>
        <w:instrText xml:space="preserve"> HYPERLINK \l "_Toc23754" </w:instrText>
      </w:r>
      <w:r>
        <w:fldChar w:fldCharType="separate"/>
      </w:r>
      <w:r>
        <w:rPr>
          <w:rFonts w:ascii="Times New Roman" w:hAnsi="Times New Roman" w:cs="Times New Roman"/>
          <w:sz w:val="28"/>
          <w:szCs w:val="28"/>
        </w:rPr>
        <w:t>附件 1. 投标书</w:t>
      </w:r>
      <w:r>
        <w:rPr>
          <w:sz w:val="28"/>
          <w:szCs w:val="28"/>
        </w:rPr>
        <w:tab/>
      </w:r>
      <w:r>
        <w:rPr>
          <w:sz w:val="28"/>
          <w:szCs w:val="28"/>
        </w:rPr>
        <w:fldChar w:fldCharType="begin"/>
      </w:r>
      <w:r>
        <w:rPr>
          <w:sz w:val="28"/>
          <w:szCs w:val="28"/>
        </w:rPr>
        <w:instrText xml:space="preserve"> PAGEREF _Toc23754 \h </w:instrText>
      </w:r>
      <w:r>
        <w:rPr>
          <w:sz w:val="28"/>
          <w:szCs w:val="28"/>
        </w:rPr>
        <w:fldChar w:fldCharType="separate"/>
      </w:r>
      <w:r>
        <w:rPr>
          <w:sz w:val="28"/>
          <w:szCs w:val="28"/>
        </w:rPr>
        <w:t>62</w:t>
      </w:r>
      <w:r>
        <w:rPr>
          <w:sz w:val="28"/>
          <w:szCs w:val="28"/>
        </w:rPr>
        <w:fldChar w:fldCharType="end"/>
      </w:r>
      <w:r>
        <w:rPr>
          <w:sz w:val="28"/>
          <w:szCs w:val="28"/>
        </w:rPr>
        <w:fldChar w:fldCharType="end"/>
      </w:r>
    </w:p>
    <w:p w14:paraId="37B58C85">
      <w:pPr>
        <w:pStyle w:val="20"/>
        <w:tabs>
          <w:tab w:val="right" w:leader="dot" w:pos="8640"/>
        </w:tabs>
        <w:rPr>
          <w:rFonts w:hint="eastAsia"/>
          <w:sz w:val="28"/>
          <w:szCs w:val="28"/>
        </w:rPr>
      </w:pPr>
      <w:r>
        <w:fldChar w:fldCharType="begin"/>
      </w:r>
      <w:r>
        <w:instrText xml:space="preserve"> HYPERLINK \l "_Toc23246" </w:instrText>
      </w:r>
      <w:r>
        <w:fldChar w:fldCharType="separate"/>
      </w:r>
      <w:r>
        <w:rPr>
          <w:rFonts w:ascii="Times New Roman" w:hAnsi="Times New Roman" w:cs="Times New Roman"/>
          <w:sz w:val="28"/>
          <w:szCs w:val="28"/>
        </w:rPr>
        <w:t>附件 2. 报价一览表</w:t>
      </w:r>
      <w:r>
        <w:rPr>
          <w:sz w:val="28"/>
          <w:szCs w:val="28"/>
        </w:rPr>
        <w:tab/>
      </w:r>
      <w:r>
        <w:rPr>
          <w:sz w:val="28"/>
          <w:szCs w:val="28"/>
        </w:rPr>
        <w:fldChar w:fldCharType="begin"/>
      </w:r>
      <w:r>
        <w:rPr>
          <w:sz w:val="28"/>
          <w:szCs w:val="28"/>
        </w:rPr>
        <w:instrText xml:space="preserve"> PAGEREF _Toc23246 \h </w:instrText>
      </w:r>
      <w:r>
        <w:rPr>
          <w:sz w:val="28"/>
          <w:szCs w:val="28"/>
        </w:rPr>
        <w:fldChar w:fldCharType="separate"/>
      </w:r>
      <w:r>
        <w:rPr>
          <w:sz w:val="28"/>
          <w:szCs w:val="28"/>
        </w:rPr>
        <w:t>63</w:t>
      </w:r>
      <w:r>
        <w:rPr>
          <w:sz w:val="28"/>
          <w:szCs w:val="28"/>
        </w:rPr>
        <w:fldChar w:fldCharType="end"/>
      </w:r>
      <w:r>
        <w:rPr>
          <w:sz w:val="28"/>
          <w:szCs w:val="28"/>
        </w:rPr>
        <w:fldChar w:fldCharType="end"/>
      </w:r>
    </w:p>
    <w:p w14:paraId="4285BF96">
      <w:pPr>
        <w:pStyle w:val="20"/>
        <w:tabs>
          <w:tab w:val="right" w:leader="dot" w:pos="8640"/>
        </w:tabs>
        <w:rPr>
          <w:rFonts w:hint="eastAsia"/>
          <w:sz w:val="28"/>
          <w:szCs w:val="28"/>
        </w:rPr>
      </w:pPr>
      <w:r>
        <w:fldChar w:fldCharType="begin"/>
      </w:r>
      <w:r>
        <w:instrText xml:space="preserve"> HYPERLINK \l "_Toc10615" </w:instrText>
      </w:r>
      <w:r>
        <w:fldChar w:fldCharType="separate"/>
      </w:r>
      <w:r>
        <w:rPr>
          <w:rFonts w:ascii="Times New Roman" w:hAnsi="Times New Roman" w:cs="Times New Roman"/>
          <w:sz w:val="28"/>
          <w:szCs w:val="28"/>
        </w:rPr>
        <w:t>附件 3. 投标报价明细表</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64</w:t>
      </w:r>
      <w:r>
        <w:rPr>
          <w:sz w:val="28"/>
          <w:szCs w:val="28"/>
        </w:rPr>
        <w:fldChar w:fldCharType="end"/>
      </w:r>
      <w:r>
        <w:rPr>
          <w:sz w:val="28"/>
          <w:szCs w:val="28"/>
        </w:rPr>
        <w:fldChar w:fldCharType="end"/>
      </w:r>
    </w:p>
    <w:p w14:paraId="61EFAD63">
      <w:pPr>
        <w:pStyle w:val="20"/>
        <w:tabs>
          <w:tab w:val="right" w:leader="dot" w:pos="8640"/>
        </w:tabs>
        <w:rPr>
          <w:rFonts w:hint="eastAsia"/>
          <w:sz w:val="28"/>
          <w:szCs w:val="28"/>
        </w:rPr>
      </w:pPr>
      <w:r>
        <w:fldChar w:fldCharType="begin"/>
      </w:r>
      <w:r>
        <w:instrText xml:space="preserve"> HYPERLINK \l "_Toc5135" </w:instrText>
      </w:r>
      <w:r>
        <w:fldChar w:fldCharType="separate"/>
      </w:r>
      <w:r>
        <w:rPr>
          <w:rFonts w:ascii="Times New Roman" w:hAnsi="Times New Roman" w:cs="Times New Roman"/>
          <w:sz w:val="28"/>
          <w:szCs w:val="28"/>
        </w:rPr>
        <w:t xml:space="preserve">附件 4. </w:t>
      </w:r>
      <w:r>
        <w:rPr>
          <w:rFonts w:hint="eastAsia" w:ascii="Times New Roman" w:hAnsi="Times New Roman" w:cs="Times New Roman"/>
          <w:sz w:val="28"/>
          <w:szCs w:val="28"/>
        </w:rPr>
        <w:t>采购需求偏离表</w:t>
      </w:r>
      <w:r>
        <w:rPr>
          <w:sz w:val="28"/>
          <w:szCs w:val="28"/>
        </w:rPr>
        <w:tab/>
      </w:r>
      <w:r>
        <w:rPr>
          <w:sz w:val="28"/>
          <w:szCs w:val="28"/>
        </w:rPr>
        <w:fldChar w:fldCharType="begin"/>
      </w:r>
      <w:r>
        <w:rPr>
          <w:sz w:val="28"/>
          <w:szCs w:val="28"/>
        </w:rPr>
        <w:instrText xml:space="preserve"> PAGEREF _Toc5135 \h </w:instrText>
      </w:r>
      <w:r>
        <w:rPr>
          <w:sz w:val="28"/>
          <w:szCs w:val="28"/>
        </w:rPr>
        <w:fldChar w:fldCharType="separate"/>
      </w:r>
      <w:r>
        <w:rPr>
          <w:sz w:val="28"/>
          <w:szCs w:val="28"/>
        </w:rPr>
        <w:t>65</w:t>
      </w:r>
      <w:r>
        <w:rPr>
          <w:sz w:val="28"/>
          <w:szCs w:val="28"/>
        </w:rPr>
        <w:fldChar w:fldCharType="end"/>
      </w:r>
      <w:r>
        <w:rPr>
          <w:sz w:val="28"/>
          <w:szCs w:val="28"/>
        </w:rPr>
        <w:fldChar w:fldCharType="end"/>
      </w:r>
    </w:p>
    <w:p w14:paraId="51C7BBEE">
      <w:pPr>
        <w:pStyle w:val="20"/>
        <w:tabs>
          <w:tab w:val="right" w:leader="dot" w:pos="8640"/>
        </w:tabs>
        <w:rPr>
          <w:rFonts w:hint="eastAsia"/>
          <w:sz w:val="28"/>
          <w:szCs w:val="28"/>
        </w:rPr>
      </w:pPr>
      <w:r>
        <w:fldChar w:fldCharType="begin"/>
      </w:r>
      <w:r>
        <w:instrText xml:space="preserve"> HYPERLINK \l "_Toc32381" </w:instrText>
      </w:r>
      <w:r>
        <w:fldChar w:fldCharType="separate"/>
      </w:r>
      <w:r>
        <w:rPr>
          <w:rFonts w:ascii="Times New Roman" w:hAnsi="Times New Roman" w:cs="Times New Roman"/>
          <w:sz w:val="28"/>
          <w:szCs w:val="28"/>
        </w:rPr>
        <w:t>附件 5. 商务条款偏离表</w:t>
      </w:r>
      <w:r>
        <w:rPr>
          <w:sz w:val="28"/>
          <w:szCs w:val="28"/>
        </w:rPr>
        <w:tab/>
      </w:r>
      <w:r>
        <w:rPr>
          <w:sz w:val="28"/>
          <w:szCs w:val="28"/>
        </w:rPr>
        <w:fldChar w:fldCharType="begin"/>
      </w:r>
      <w:r>
        <w:rPr>
          <w:sz w:val="28"/>
          <w:szCs w:val="28"/>
        </w:rPr>
        <w:instrText xml:space="preserve"> PAGEREF _Toc32381 \h </w:instrText>
      </w:r>
      <w:r>
        <w:rPr>
          <w:sz w:val="28"/>
          <w:szCs w:val="28"/>
        </w:rPr>
        <w:fldChar w:fldCharType="separate"/>
      </w:r>
      <w:r>
        <w:rPr>
          <w:sz w:val="28"/>
          <w:szCs w:val="28"/>
        </w:rPr>
        <w:t>66</w:t>
      </w:r>
      <w:r>
        <w:rPr>
          <w:sz w:val="28"/>
          <w:szCs w:val="28"/>
        </w:rPr>
        <w:fldChar w:fldCharType="end"/>
      </w:r>
      <w:r>
        <w:rPr>
          <w:sz w:val="28"/>
          <w:szCs w:val="28"/>
        </w:rPr>
        <w:fldChar w:fldCharType="end"/>
      </w:r>
    </w:p>
    <w:p w14:paraId="098E678E">
      <w:pPr>
        <w:pStyle w:val="20"/>
        <w:tabs>
          <w:tab w:val="right" w:leader="dot" w:pos="8640"/>
        </w:tabs>
        <w:rPr>
          <w:rFonts w:hint="eastAsia"/>
          <w:sz w:val="28"/>
          <w:szCs w:val="28"/>
        </w:rPr>
      </w:pPr>
      <w:r>
        <w:fldChar w:fldCharType="begin"/>
      </w:r>
      <w:r>
        <w:instrText xml:space="preserve"> HYPERLINK \l "_Toc30397" </w:instrText>
      </w:r>
      <w:r>
        <w:fldChar w:fldCharType="separate"/>
      </w:r>
      <w:r>
        <w:rPr>
          <w:rFonts w:ascii="Times New Roman" w:hAnsi="Times New Roman" w:cs="Times New Roman"/>
          <w:sz w:val="28"/>
          <w:szCs w:val="28"/>
        </w:rPr>
        <w:t>附件 6. 投标人资格证明文件</w:t>
      </w:r>
      <w:r>
        <w:rPr>
          <w:sz w:val="28"/>
          <w:szCs w:val="28"/>
        </w:rPr>
        <w:tab/>
      </w:r>
      <w:r>
        <w:rPr>
          <w:sz w:val="28"/>
          <w:szCs w:val="28"/>
        </w:rPr>
        <w:fldChar w:fldCharType="begin"/>
      </w:r>
      <w:r>
        <w:rPr>
          <w:sz w:val="28"/>
          <w:szCs w:val="28"/>
        </w:rPr>
        <w:instrText xml:space="preserve"> PAGEREF _Toc30397 \h </w:instrText>
      </w:r>
      <w:r>
        <w:rPr>
          <w:sz w:val="28"/>
          <w:szCs w:val="28"/>
        </w:rPr>
        <w:fldChar w:fldCharType="separate"/>
      </w:r>
      <w:r>
        <w:rPr>
          <w:sz w:val="28"/>
          <w:szCs w:val="28"/>
        </w:rPr>
        <w:t>67</w:t>
      </w:r>
      <w:r>
        <w:rPr>
          <w:sz w:val="28"/>
          <w:szCs w:val="28"/>
        </w:rPr>
        <w:fldChar w:fldCharType="end"/>
      </w:r>
      <w:r>
        <w:rPr>
          <w:sz w:val="28"/>
          <w:szCs w:val="28"/>
        </w:rPr>
        <w:fldChar w:fldCharType="end"/>
      </w:r>
    </w:p>
    <w:p w14:paraId="064DEDA8">
      <w:pPr>
        <w:pStyle w:val="20"/>
        <w:tabs>
          <w:tab w:val="right" w:leader="dot" w:pos="8640"/>
        </w:tabs>
        <w:rPr>
          <w:rFonts w:hint="eastAsia"/>
          <w:sz w:val="28"/>
          <w:szCs w:val="28"/>
        </w:rPr>
      </w:pPr>
      <w:r>
        <w:fldChar w:fldCharType="begin"/>
      </w:r>
      <w:r>
        <w:instrText xml:space="preserve"> HYPERLINK \l "_Toc18642" </w:instrText>
      </w:r>
      <w:r>
        <w:fldChar w:fldCharType="separate"/>
      </w:r>
      <w:r>
        <w:rPr>
          <w:rFonts w:ascii="Times New Roman" w:hAnsi="Times New Roman" w:cs="Times New Roman"/>
          <w:sz w:val="28"/>
          <w:szCs w:val="28"/>
        </w:rPr>
        <w:t>附件 7. 法定代表人授权书</w:t>
      </w:r>
      <w:r>
        <w:rPr>
          <w:sz w:val="28"/>
          <w:szCs w:val="28"/>
        </w:rPr>
        <w:tab/>
      </w:r>
      <w:r>
        <w:rPr>
          <w:sz w:val="28"/>
          <w:szCs w:val="28"/>
        </w:rPr>
        <w:fldChar w:fldCharType="begin"/>
      </w:r>
      <w:r>
        <w:rPr>
          <w:sz w:val="28"/>
          <w:szCs w:val="28"/>
        </w:rPr>
        <w:instrText xml:space="preserve"> PAGEREF _Toc18642 \h </w:instrText>
      </w:r>
      <w:r>
        <w:rPr>
          <w:sz w:val="28"/>
          <w:szCs w:val="28"/>
        </w:rPr>
        <w:fldChar w:fldCharType="separate"/>
      </w:r>
      <w:r>
        <w:rPr>
          <w:sz w:val="28"/>
          <w:szCs w:val="28"/>
        </w:rPr>
        <w:t>70</w:t>
      </w:r>
      <w:r>
        <w:rPr>
          <w:sz w:val="28"/>
          <w:szCs w:val="28"/>
        </w:rPr>
        <w:fldChar w:fldCharType="end"/>
      </w:r>
      <w:r>
        <w:rPr>
          <w:sz w:val="28"/>
          <w:szCs w:val="28"/>
        </w:rPr>
        <w:fldChar w:fldCharType="end"/>
      </w:r>
    </w:p>
    <w:p w14:paraId="1A9D8A74">
      <w:pPr>
        <w:pStyle w:val="20"/>
        <w:tabs>
          <w:tab w:val="right" w:leader="dot" w:pos="8640"/>
        </w:tabs>
        <w:rPr>
          <w:rFonts w:hint="eastAsia"/>
          <w:sz w:val="28"/>
          <w:szCs w:val="28"/>
        </w:rPr>
      </w:pPr>
      <w:r>
        <w:fldChar w:fldCharType="begin"/>
      </w:r>
      <w:r>
        <w:instrText xml:space="preserve"> HYPERLINK \l "_Toc21749" </w:instrText>
      </w:r>
      <w:r>
        <w:fldChar w:fldCharType="separate"/>
      </w:r>
      <w:r>
        <w:rPr>
          <w:rFonts w:ascii="Times New Roman" w:hAnsi="Times New Roman" w:cs="Times New Roman"/>
          <w:sz w:val="28"/>
          <w:szCs w:val="28"/>
        </w:rPr>
        <w:t>附件 8. 投标人基本情况表</w:t>
      </w:r>
      <w:r>
        <w:rPr>
          <w:sz w:val="28"/>
          <w:szCs w:val="28"/>
        </w:rPr>
        <w:tab/>
      </w:r>
      <w:r>
        <w:rPr>
          <w:sz w:val="28"/>
          <w:szCs w:val="28"/>
        </w:rPr>
        <w:fldChar w:fldCharType="begin"/>
      </w:r>
      <w:r>
        <w:rPr>
          <w:sz w:val="28"/>
          <w:szCs w:val="28"/>
        </w:rPr>
        <w:instrText xml:space="preserve"> PAGEREF _Toc21749 \h </w:instrText>
      </w:r>
      <w:r>
        <w:rPr>
          <w:sz w:val="28"/>
          <w:szCs w:val="28"/>
        </w:rPr>
        <w:fldChar w:fldCharType="separate"/>
      </w:r>
      <w:r>
        <w:rPr>
          <w:sz w:val="28"/>
          <w:szCs w:val="28"/>
        </w:rPr>
        <w:t>71</w:t>
      </w:r>
      <w:r>
        <w:rPr>
          <w:sz w:val="28"/>
          <w:szCs w:val="28"/>
        </w:rPr>
        <w:fldChar w:fldCharType="end"/>
      </w:r>
      <w:r>
        <w:rPr>
          <w:sz w:val="28"/>
          <w:szCs w:val="28"/>
        </w:rPr>
        <w:fldChar w:fldCharType="end"/>
      </w:r>
    </w:p>
    <w:p w14:paraId="05AD3EE5">
      <w:pPr>
        <w:pStyle w:val="20"/>
        <w:tabs>
          <w:tab w:val="right" w:leader="dot" w:pos="8640"/>
        </w:tabs>
        <w:rPr>
          <w:rFonts w:hint="eastAsia"/>
          <w:sz w:val="28"/>
          <w:szCs w:val="28"/>
        </w:rPr>
      </w:pPr>
      <w:r>
        <w:fldChar w:fldCharType="begin"/>
      </w:r>
      <w:r>
        <w:instrText xml:space="preserve"> HYPERLINK \l "_Toc29449" </w:instrText>
      </w:r>
      <w:r>
        <w:fldChar w:fldCharType="separate"/>
      </w:r>
      <w:r>
        <w:rPr>
          <w:rFonts w:ascii="Times New Roman" w:hAnsi="Times New Roman" w:cs="Times New Roman"/>
          <w:sz w:val="28"/>
          <w:szCs w:val="28"/>
        </w:rPr>
        <w:t>附件 9. 业绩证明文件</w:t>
      </w:r>
      <w:r>
        <w:rPr>
          <w:sz w:val="28"/>
          <w:szCs w:val="28"/>
        </w:rPr>
        <w:tab/>
      </w:r>
      <w:r>
        <w:rPr>
          <w:sz w:val="28"/>
          <w:szCs w:val="28"/>
        </w:rPr>
        <w:fldChar w:fldCharType="begin"/>
      </w:r>
      <w:r>
        <w:rPr>
          <w:sz w:val="28"/>
          <w:szCs w:val="28"/>
        </w:rPr>
        <w:instrText xml:space="preserve"> PAGEREF _Toc29449 \h </w:instrText>
      </w:r>
      <w:r>
        <w:rPr>
          <w:sz w:val="28"/>
          <w:szCs w:val="28"/>
        </w:rPr>
        <w:fldChar w:fldCharType="separate"/>
      </w:r>
      <w:r>
        <w:rPr>
          <w:sz w:val="28"/>
          <w:szCs w:val="28"/>
        </w:rPr>
        <w:t>72</w:t>
      </w:r>
      <w:r>
        <w:rPr>
          <w:sz w:val="28"/>
          <w:szCs w:val="28"/>
        </w:rPr>
        <w:fldChar w:fldCharType="end"/>
      </w:r>
      <w:r>
        <w:rPr>
          <w:sz w:val="28"/>
          <w:szCs w:val="28"/>
        </w:rPr>
        <w:fldChar w:fldCharType="end"/>
      </w:r>
    </w:p>
    <w:p w14:paraId="22F281A6">
      <w:pPr>
        <w:pStyle w:val="20"/>
        <w:tabs>
          <w:tab w:val="right" w:leader="dot" w:pos="8640"/>
        </w:tabs>
        <w:rPr>
          <w:rFonts w:hint="eastAsia"/>
          <w:sz w:val="28"/>
          <w:szCs w:val="28"/>
        </w:rPr>
      </w:pPr>
      <w:r>
        <w:fldChar w:fldCharType="begin"/>
      </w:r>
      <w:r>
        <w:instrText xml:space="preserve"> HYPERLINK \l "_Toc14084" </w:instrText>
      </w:r>
      <w:r>
        <w:fldChar w:fldCharType="separate"/>
      </w:r>
      <w:r>
        <w:rPr>
          <w:rFonts w:ascii="Times New Roman" w:hAnsi="Times New Roman" w:cs="Times New Roman"/>
          <w:kern w:val="2"/>
          <w:sz w:val="28"/>
          <w:szCs w:val="28"/>
        </w:rPr>
        <w:t xml:space="preserve">附件 10. </w:t>
      </w:r>
      <w:r>
        <w:rPr>
          <w:rFonts w:hint="eastAsia"/>
          <w:sz w:val="28"/>
          <w:szCs w:val="28"/>
        </w:rPr>
        <w:t>拟投入本项目全部团队成员明细表</w:t>
      </w:r>
      <w:r>
        <w:rPr>
          <w:sz w:val="28"/>
          <w:szCs w:val="28"/>
        </w:rPr>
        <w:tab/>
      </w:r>
      <w:r>
        <w:rPr>
          <w:sz w:val="28"/>
          <w:szCs w:val="28"/>
        </w:rPr>
        <w:fldChar w:fldCharType="begin"/>
      </w:r>
      <w:r>
        <w:rPr>
          <w:sz w:val="28"/>
          <w:szCs w:val="28"/>
        </w:rPr>
        <w:instrText xml:space="preserve"> PAGEREF _Toc14084 \h </w:instrText>
      </w:r>
      <w:r>
        <w:rPr>
          <w:sz w:val="28"/>
          <w:szCs w:val="28"/>
        </w:rPr>
        <w:fldChar w:fldCharType="separate"/>
      </w:r>
      <w:r>
        <w:rPr>
          <w:sz w:val="28"/>
          <w:szCs w:val="28"/>
        </w:rPr>
        <w:t>73</w:t>
      </w:r>
      <w:r>
        <w:rPr>
          <w:sz w:val="28"/>
          <w:szCs w:val="28"/>
        </w:rPr>
        <w:fldChar w:fldCharType="end"/>
      </w:r>
      <w:r>
        <w:rPr>
          <w:sz w:val="28"/>
          <w:szCs w:val="28"/>
        </w:rPr>
        <w:fldChar w:fldCharType="end"/>
      </w:r>
    </w:p>
    <w:p w14:paraId="37AA9CD8">
      <w:pPr>
        <w:pStyle w:val="20"/>
        <w:tabs>
          <w:tab w:val="right" w:leader="dot" w:pos="8640"/>
        </w:tabs>
        <w:rPr>
          <w:rFonts w:hint="eastAsia"/>
          <w:sz w:val="28"/>
          <w:szCs w:val="28"/>
        </w:rPr>
      </w:pPr>
      <w:r>
        <w:fldChar w:fldCharType="begin"/>
      </w:r>
      <w:r>
        <w:instrText xml:space="preserve"> HYPERLINK \l "_Toc8029" </w:instrText>
      </w:r>
      <w:r>
        <w:fldChar w:fldCharType="separate"/>
      </w:r>
      <w:r>
        <w:rPr>
          <w:rFonts w:ascii="Times New Roman" w:hAnsi="Times New Roman" w:cs="Times New Roman"/>
          <w:sz w:val="28"/>
          <w:szCs w:val="28"/>
        </w:rPr>
        <w:t>附件 11. 技术文件</w:t>
      </w:r>
      <w:r>
        <w:rPr>
          <w:sz w:val="28"/>
          <w:szCs w:val="28"/>
        </w:rPr>
        <w:tab/>
      </w:r>
      <w:r>
        <w:rPr>
          <w:sz w:val="28"/>
          <w:szCs w:val="28"/>
        </w:rPr>
        <w:fldChar w:fldCharType="begin"/>
      </w:r>
      <w:r>
        <w:rPr>
          <w:sz w:val="28"/>
          <w:szCs w:val="28"/>
        </w:rPr>
        <w:instrText xml:space="preserve"> PAGEREF _Toc8029 \h </w:instrText>
      </w:r>
      <w:r>
        <w:rPr>
          <w:sz w:val="28"/>
          <w:szCs w:val="28"/>
        </w:rPr>
        <w:fldChar w:fldCharType="separate"/>
      </w:r>
      <w:r>
        <w:rPr>
          <w:sz w:val="28"/>
          <w:szCs w:val="28"/>
        </w:rPr>
        <w:t>75</w:t>
      </w:r>
      <w:r>
        <w:rPr>
          <w:sz w:val="28"/>
          <w:szCs w:val="28"/>
        </w:rPr>
        <w:fldChar w:fldCharType="end"/>
      </w:r>
      <w:r>
        <w:rPr>
          <w:sz w:val="28"/>
          <w:szCs w:val="28"/>
        </w:rPr>
        <w:fldChar w:fldCharType="end"/>
      </w:r>
    </w:p>
    <w:p w14:paraId="7136AFAF">
      <w:pPr>
        <w:pStyle w:val="20"/>
        <w:tabs>
          <w:tab w:val="right" w:leader="dot" w:pos="8640"/>
        </w:tabs>
        <w:rPr>
          <w:rFonts w:hint="eastAsia"/>
          <w:sz w:val="28"/>
          <w:szCs w:val="28"/>
        </w:rPr>
      </w:pPr>
      <w:r>
        <w:fldChar w:fldCharType="begin"/>
      </w:r>
      <w:r>
        <w:instrText xml:space="preserve"> HYPERLINK \l "_Toc23715" </w:instrText>
      </w:r>
      <w:r>
        <w:fldChar w:fldCharType="separate"/>
      </w:r>
      <w:r>
        <w:rPr>
          <w:rFonts w:ascii="Times New Roman" w:hAnsi="Times New Roman" w:cs="Times New Roman"/>
          <w:sz w:val="28"/>
          <w:szCs w:val="28"/>
        </w:rPr>
        <w:t>附件 12. 招标文件要求的和投标人认为必要的其它文件</w:t>
      </w:r>
      <w:r>
        <w:rPr>
          <w:sz w:val="28"/>
          <w:szCs w:val="28"/>
        </w:rPr>
        <w:tab/>
      </w:r>
      <w:r>
        <w:rPr>
          <w:sz w:val="28"/>
          <w:szCs w:val="28"/>
        </w:rPr>
        <w:fldChar w:fldCharType="begin"/>
      </w:r>
      <w:r>
        <w:rPr>
          <w:sz w:val="28"/>
          <w:szCs w:val="28"/>
        </w:rPr>
        <w:instrText xml:space="preserve"> PAGEREF _Toc23715 \h </w:instrText>
      </w:r>
      <w:r>
        <w:rPr>
          <w:sz w:val="28"/>
          <w:szCs w:val="28"/>
        </w:rPr>
        <w:fldChar w:fldCharType="separate"/>
      </w:r>
      <w:r>
        <w:rPr>
          <w:sz w:val="28"/>
          <w:szCs w:val="28"/>
        </w:rPr>
        <w:t>76</w:t>
      </w:r>
      <w:r>
        <w:rPr>
          <w:sz w:val="28"/>
          <w:szCs w:val="28"/>
        </w:rPr>
        <w:fldChar w:fldCharType="end"/>
      </w:r>
      <w:r>
        <w:rPr>
          <w:sz w:val="28"/>
          <w:szCs w:val="28"/>
        </w:rPr>
        <w:fldChar w:fldCharType="end"/>
      </w:r>
    </w:p>
    <w:p w14:paraId="47097B93">
      <w:pPr>
        <w:pStyle w:val="20"/>
        <w:tabs>
          <w:tab w:val="right" w:leader="dot" w:pos="8640"/>
        </w:tabs>
        <w:rPr>
          <w:rFonts w:hint="eastAsia"/>
          <w:sz w:val="28"/>
          <w:szCs w:val="28"/>
        </w:rPr>
      </w:pPr>
      <w:r>
        <w:fldChar w:fldCharType="begin"/>
      </w:r>
      <w:r>
        <w:instrText xml:space="preserve"> HYPERLINK \l "_Toc18515" </w:instrText>
      </w:r>
      <w:r>
        <w:fldChar w:fldCharType="separate"/>
      </w:r>
      <w:r>
        <w:rPr>
          <w:rFonts w:ascii="Times New Roman" w:hAnsi="Times New Roman" w:cs="Times New Roman"/>
          <w:sz w:val="28"/>
          <w:szCs w:val="28"/>
        </w:rPr>
        <w:t xml:space="preserve">附件 13. </w:t>
      </w:r>
      <w:r>
        <w:rPr>
          <w:rFonts w:hint="eastAsia" w:ascii="Times New Roman" w:hAnsi="Times New Roman" w:cs="Times New Roman"/>
          <w:sz w:val="28"/>
          <w:szCs w:val="28"/>
        </w:rPr>
        <w:t>承诺函</w:t>
      </w:r>
      <w:r>
        <w:rPr>
          <w:sz w:val="28"/>
          <w:szCs w:val="28"/>
        </w:rPr>
        <w:tab/>
      </w:r>
      <w:r>
        <w:rPr>
          <w:sz w:val="28"/>
          <w:szCs w:val="28"/>
        </w:rPr>
        <w:fldChar w:fldCharType="begin"/>
      </w:r>
      <w:r>
        <w:rPr>
          <w:sz w:val="28"/>
          <w:szCs w:val="28"/>
        </w:rPr>
        <w:instrText xml:space="preserve"> PAGEREF _Toc18515 \h </w:instrText>
      </w:r>
      <w:r>
        <w:rPr>
          <w:sz w:val="28"/>
          <w:szCs w:val="28"/>
        </w:rPr>
        <w:fldChar w:fldCharType="separate"/>
      </w:r>
      <w:r>
        <w:rPr>
          <w:sz w:val="28"/>
          <w:szCs w:val="28"/>
        </w:rPr>
        <w:t>77</w:t>
      </w:r>
      <w:r>
        <w:rPr>
          <w:sz w:val="28"/>
          <w:szCs w:val="28"/>
        </w:rPr>
        <w:fldChar w:fldCharType="end"/>
      </w:r>
      <w:r>
        <w:rPr>
          <w:sz w:val="28"/>
          <w:szCs w:val="28"/>
        </w:rPr>
        <w:fldChar w:fldCharType="end"/>
      </w:r>
    </w:p>
    <w:p w14:paraId="1CA2F2FD">
      <w:pPr>
        <w:spacing w:line="360" w:lineRule="auto"/>
        <w:rPr>
          <w:rFonts w:ascii="Times New Roman" w:hAnsi="Times New Roman" w:cs="Times New Roman"/>
        </w:rPr>
      </w:pPr>
      <w:r>
        <w:rPr>
          <w:rFonts w:ascii="Times New Roman" w:hAnsi="Times New Roman" w:cs="Times New Roman"/>
          <w:bCs/>
          <w:sz w:val="28"/>
          <w:szCs w:val="28"/>
          <w:lang w:val="zh-CN"/>
        </w:rPr>
        <w:fldChar w:fldCharType="end"/>
      </w:r>
    </w:p>
    <w:p w14:paraId="6D9B0DEB">
      <w:pPr>
        <w:spacing w:line="360" w:lineRule="auto"/>
        <w:rPr>
          <w:rFonts w:ascii="Times New Roman" w:hAnsi="Times New Roman" w:cs="Times New Roman"/>
        </w:rPr>
      </w:pPr>
    </w:p>
    <w:p w14:paraId="17C63F73">
      <w:pPr>
        <w:spacing w:line="360" w:lineRule="auto"/>
        <w:rPr>
          <w:rFonts w:ascii="Times New Roman" w:hAnsi="Times New Roman" w:cs="Times New Roman"/>
        </w:rPr>
        <w:sectPr>
          <w:headerReference r:id="rId3" w:type="default"/>
          <w:pgSz w:w="11906" w:h="16838"/>
          <w:pgMar w:top="1440" w:right="1466" w:bottom="1440" w:left="1800" w:header="851" w:footer="992" w:gutter="0"/>
          <w:cols w:space="720" w:num="1"/>
          <w:docGrid w:type="lines" w:linePitch="312" w:charSpace="0"/>
        </w:sectPr>
      </w:pPr>
    </w:p>
    <w:p w14:paraId="43101E53">
      <w:pPr>
        <w:spacing w:line="360" w:lineRule="auto"/>
        <w:rPr>
          <w:rFonts w:ascii="Times New Roman" w:hAnsi="Times New Roman" w:cs="Times New Roman"/>
        </w:rPr>
      </w:pPr>
    </w:p>
    <w:p w14:paraId="07DCF921">
      <w:pPr>
        <w:spacing w:line="360" w:lineRule="auto"/>
        <w:rPr>
          <w:rFonts w:ascii="Times New Roman" w:hAnsi="Times New Roman" w:cs="Times New Roman"/>
        </w:rPr>
      </w:pPr>
    </w:p>
    <w:p w14:paraId="2CBB8EC1">
      <w:pPr>
        <w:spacing w:line="360" w:lineRule="auto"/>
        <w:rPr>
          <w:rFonts w:ascii="Times New Roman" w:hAnsi="Times New Roman" w:cs="Times New Roman"/>
        </w:rPr>
      </w:pPr>
    </w:p>
    <w:p w14:paraId="7F98F13C">
      <w:pPr>
        <w:spacing w:line="360" w:lineRule="auto"/>
        <w:rPr>
          <w:rFonts w:ascii="Times New Roman" w:hAnsi="Times New Roman" w:cs="Times New Roman"/>
        </w:rPr>
      </w:pPr>
    </w:p>
    <w:p w14:paraId="24179422">
      <w:pPr>
        <w:spacing w:line="360" w:lineRule="auto"/>
        <w:rPr>
          <w:rFonts w:ascii="Times New Roman" w:hAnsi="Times New Roman" w:cs="Times New Roman"/>
        </w:rPr>
      </w:pPr>
    </w:p>
    <w:p w14:paraId="3C388FBA">
      <w:pPr>
        <w:spacing w:line="360" w:lineRule="auto"/>
        <w:rPr>
          <w:rFonts w:ascii="Times New Roman" w:hAnsi="Times New Roman" w:cs="Times New Roman"/>
        </w:rPr>
      </w:pPr>
    </w:p>
    <w:p w14:paraId="38193D9F">
      <w:pPr>
        <w:spacing w:line="360" w:lineRule="auto"/>
        <w:rPr>
          <w:rFonts w:ascii="Times New Roman" w:hAnsi="Times New Roman" w:cs="Times New Roman"/>
        </w:rPr>
      </w:pPr>
    </w:p>
    <w:p w14:paraId="245DB8CE">
      <w:pPr>
        <w:spacing w:line="360" w:lineRule="auto"/>
        <w:rPr>
          <w:rFonts w:ascii="Times New Roman" w:hAnsi="Times New Roman" w:cs="Times New Roman"/>
        </w:rPr>
      </w:pPr>
    </w:p>
    <w:p w14:paraId="2508B2FA">
      <w:pPr>
        <w:spacing w:line="360" w:lineRule="auto"/>
        <w:rPr>
          <w:rFonts w:ascii="Times New Roman" w:hAnsi="Times New Roman" w:cs="Times New Roman"/>
        </w:rPr>
      </w:pPr>
    </w:p>
    <w:p w14:paraId="260D92ED">
      <w:pPr>
        <w:spacing w:line="360" w:lineRule="auto"/>
        <w:rPr>
          <w:rFonts w:ascii="Times New Roman" w:hAnsi="Times New Roman" w:cs="Times New Roman"/>
        </w:rPr>
      </w:pPr>
    </w:p>
    <w:p w14:paraId="662CD136">
      <w:pPr>
        <w:pStyle w:val="63"/>
        <w:numPr>
          <w:ilvl w:val="0"/>
          <w:numId w:val="4"/>
        </w:numPr>
        <w:spacing w:line="360" w:lineRule="auto"/>
        <w:ind w:left="1276" w:hanging="1276" w:firstLineChars="0"/>
        <w:jc w:val="center"/>
        <w:outlineLvl w:val="0"/>
        <w:rPr>
          <w:rFonts w:ascii="Times New Roman" w:hAnsi="Times New Roman" w:eastAsia="黑体" w:cs="Times New Roman"/>
          <w:b/>
          <w:sz w:val="44"/>
          <w:szCs w:val="44"/>
        </w:rPr>
      </w:pPr>
      <w:bookmarkStart w:id="0" w:name="_Toc30057"/>
      <w:bookmarkStart w:id="1" w:name="_Toc376176808"/>
      <w:bookmarkStart w:id="2" w:name="_Toc405464691"/>
      <w:r>
        <w:rPr>
          <w:rFonts w:ascii="Times New Roman" w:hAnsi="Times New Roman" w:eastAsia="黑体" w:cs="Times New Roman"/>
          <w:b/>
          <w:sz w:val="44"/>
          <w:szCs w:val="44"/>
        </w:rPr>
        <w:t>投标邀请</w:t>
      </w:r>
      <w:bookmarkEnd w:id="0"/>
    </w:p>
    <w:p w14:paraId="74BD79B7">
      <w:pPr>
        <w:spacing w:line="360" w:lineRule="auto"/>
        <w:ind w:firstLine="480" w:firstLineChars="200"/>
        <w:rPr>
          <w:rFonts w:ascii="Times New Roman" w:hAnsi="Times New Roman" w:cs="Times New Roman"/>
          <w:szCs w:val="21"/>
        </w:rPr>
      </w:pPr>
    </w:p>
    <w:p w14:paraId="7922B8D9">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2378159A">
      <w:pPr>
        <w:rPr>
          <w:rFonts w:hint="eastAsia"/>
        </w:rPr>
      </w:pPr>
    </w:p>
    <w:p w14:paraId="61CE058A">
      <w:pPr>
        <w:pStyle w:val="63"/>
        <w:spacing w:line="360" w:lineRule="auto"/>
        <w:ind w:firstLine="0" w:firstLineChars="0"/>
        <w:jc w:val="center"/>
        <w:outlineLvl w:val="0"/>
        <w:rPr>
          <w:rFonts w:ascii="Times New Roman" w:hAnsi="Times New Roman" w:cs="Times New Roman"/>
          <w:b/>
        </w:rPr>
      </w:pPr>
      <w:bookmarkStart w:id="3" w:name="_Toc97"/>
      <w:bookmarkStart w:id="4" w:name="_Toc27163"/>
      <w:r>
        <w:rPr>
          <w:rFonts w:hint="eastAsia" w:ascii="Times New Roman" w:hAnsi="Times New Roman" w:cs="Times New Roman"/>
          <w:b/>
        </w:rPr>
        <w:t>招标公告</w:t>
      </w:r>
      <w:bookmarkEnd w:id="3"/>
      <w:bookmarkEnd w:id="4"/>
    </w:p>
    <w:p w14:paraId="7DAB9170">
      <w:pPr>
        <w:spacing w:line="360" w:lineRule="auto"/>
        <w:ind w:firstLine="420" w:firstLineChars="200"/>
        <w:rPr>
          <w:rFonts w:ascii="Times New Roman" w:hAnsi="Times New Roman" w:cs="Times New Roman"/>
          <w:sz w:val="21"/>
          <w:szCs w:val="21"/>
        </w:rPr>
      </w:pPr>
    </w:p>
    <w:p w14:paraId="2B169BB5">
      <w:pPr>
        <w:spacing w:line="360" w:lineRule="auto"/>
        <w:ind w:firstLine="420" w:firstLineChars="200"/>
        <w:rPr>
          <w:rFonts w:ascii="Times New Roman" w:hAnsi="Times New Roman" w:cs="Times New Roman"/>
          <w:bCs/>
          <w:sz w:val="21"/>
          <w:szCs w:val="21"/>
        </w:rPr>
      </w:pPr>
      <w:r>
        <w:rPr>
          <w:rFonts w:ascii="Times New Roman" w:hAnsi="Times New Roman" w:cs="Times New Roman"/>
          <w:sz w:val="21"/>
          <w:szCs w:val="21"/>
        </w:rPr>
        <w:t>北京国际工程咨询有限公司受</w:t>
      </w:r>
      <w:r>
        <w:rPr>
          <w:rFonts w:hint="eastAsia" w:ascii="Times New Roman" w:hAnsi="Times New Roman" w:cs="Times New Roman"/>
          <w:sz w:val="21"/>
          <w:szCs w:val="21"/>
        </w:rPr>
        <w:t>中关村发展集团股份有限公司</w:t>
      </w:r>
      <w:r>
        <w:rPr>
          <w:rFonts w:ascii="Times New Roman" w:hAnsi="Times New Roman" w:cs="Times New Roman"/>
          <w:sz w:val="21"/>
          <w:szCs w:val="21"/>
        </w:rPr>
        <w:t>的委托，对下述项目进行国内</w:t>
      </w:r>
      <w:r>
        <w:rPr>
          <w:rFonts w:hint="eastAsia" w:ascii="Times New Roman" w:hAnsi="Times New Roman" w:cs="Times New Roman"/>
          <w:sz w:val="21"/>
          <w:szCs w:val="21"/>
        </w:rPr>
        <w:t>公开</w:t>
      </w:r>
      <w:r>
        <w:rPr>
          <w:rFonts w:ascii="Times New Roman" w:hAnsi="Times New Roman" w:cs="Times New Roman"/>
          <w:sz w:val="21"/>
          <w:szCs w:val="21"/>
        </w:rPr>
        <w:t>招标</w:t>
      </w:r>
      <w:r>
        <w:rPr>
          <w:rFonts w:hint="eastAsia" w:ascii="Times New Roman" w:hAnsi="Times New Roman" w:cs="Times New Roman"/>
          <w:sz w:val="21"/>
          <w:szCs w:val="21"/>
        </w:rPr>
        <w:t>，</w:t>
      </w:r>
      <w:r>
        <w:rPr>
          <w:rFonts w:ascii="Times New Roman" w:hAnsi="Times New Roman" w:cs="Times New Roman"/>
          <w:sz w:val="21"/>
          <w:szCs w:val="21"/>
        </w:rPr>
        <w:t>现邀请</w:t>
      </w:r>
      <w:r>
        <w:rPr>
          <w:rFonts w:hint="eastAsia" w:ascii="Times New Roman" w:hAnsi="Times New Roman" w:cs="Times New Roman"/>
          <w:sz w:val="21"/>
          <w:szCs w:val="21"/>
        </w:rPr>
        <w:t>有意愿</w:t>
      </w:r>
      <w:r>
        <w:rPr>
          <w:rFonts w:ascii="Times New Roman" w:hAnsi="Times New Roman" w:cs="Times New Roman"/>
          <w:sz w:val="21"/>
          <w:szCs w:val="21"/>
        </w:rPr>
        <w:t>的投标人前来投标。</w:t>
      </w:r>
    </w:p>
    <w:p w14:paraId="2706A6B0">
      <w:pPr>
        <w:numPr>
          <w:ilvl w:val="0"/>
          <w:numId w:val="5"/>
        </w:numPr>
        <w:spacing w:line="360" w:lineRule="auto"/>
        <w:rPr>
          <w:rFonts w:ascii="Times New Roman" w:hAnsi="Times New Roman" w:cs="Times New Roman"/>
          <w:sz w:val="21"/>
          <w:szCs w:val="21"/>
        </w:rPr>
      </w:pPr>
      <w:r>
        <w:rPr>
          <w:rFonts w:ascii="Times New Roman" w:hAnsi="Times New Roman" w:cs="Times New Roman"/>
          <w:b/>
          <w:sz w:val="21"/>
          <w:szCs w:val="21"/>
        </w:rPr>
        <w:t>项目名称：</w:t>
      </w:r>
      <w:r>
        <w:rPr>
          <w:rFonts w:hint="eastAsia" w:ascii="Times New Roman" w:hAnsi="Times New Roman" w:cs="Times New Roman"/>
          <w:sz w:val="21"/>
          <w:szCs w:val="21"/>
        </w:rPr>
        <w:t>中关村发展集团股份有限公司网络安全设备采购项目</w:t>
      </w:r>
    </w:p>
    <w:p w14:paraId="68CD501B">
      <w:pPr>
        <w:numPr>
          <w:ilvl w:val="0"/>
          <w:numId w:val="5"/>
        </w:numPr>
        <w:spacing w:line="360" w:lineRule="auto"/>
        <w:rPr>
          <w:rFonts w:ascii="Times New Roman" w:hAnsi="Times New Roman" w:cs="Times New Roman"/>
          <w:sz w:val="21"/>
          <w:szCs w:val="21"/>
        </w:rPr>
      </w:pPr>
      <w:r>
        <w:rPr>
          <w:rFonts w:ascii="Times New Roman" w:hAnsi="Times New Roman" w:cs="Times New Roman"/>
          <w:b/>
          <w:sz w:val="21"/>
          <w:szCs w:val="21"/>
        </w:rPr>
        <w:t>招标编号：</w:t>
      </w:r>
      <w:r>
        <w:rPr>
          <w:rFonts w:hint="eastAsia" w:ascii="Times New Roman" w:hAnsi="Times New Roman" w:cs="Times New Roman"/>
          <w:sz w:val="21"/>
          <w:szCs w:val="21"/>
        </w:rPr>
        <w:t>BIECC-25CG10365</w:t>
      </w:r>
    </w:p>
    <w:p w14:paraId="1E397F57">
      <w:pPr>
        <w:numPr>
          <w:ilvl w:val="0"/>
          <w:numId w:val="5"/>
        </w:numPr>
        <w:spacing w:line="360" w:lineRule="auto"/>
        <w:rPr>
          <w:rFonts w:ascii="Times New Roman" w:hAnsi="Times New Roman" w:cs="Times New Roman"/>
          <w:b/>
          <w:sz w:val="21"/>
          <w:szCs w:val="21"/>
        </w:rPr>
      </w:pPr>
      <w:r>
        <w:rPr>
          <w:rFonts w:hint="eastAsia" w:ascii="Times New Roman" w:hAnsi="Times New Roman" w:cs="Times New Roman"/>
          <w:b/>
          <w:sz w:val="21"/>
          <w:szCs w:val="21"/>
        </w:rPr>
        <w:t>预算金额：</w:t>
      </w:r>
      <w:r>
        <w:rPr>
          <w:rFonts w:hint="eastAsia" w:ascii="Times New Roman" w:hAnsi="Times New Roman" w:cs="Times New Roman"/>
          <w:bCs/>
          <w:sz w:val="21"/>
          <w:szCs w:val="21"/>
        </w:rPr>
        <w:t>人民币237万元</w:t>
      </w:r>
    </w:p>
    <w:p w14:paraId="50561F22">
      <w:pPr>
        <w:numPr>
          <w:ilvl w:val="0"/>
          <w:numId w:val="5"/>
        </w:numPr>
        <w:spacing w:line="360" w:lineRule="auto"/>
        <w:rPr>
          <w:rFonts w:ascii="Times New Roman" w:hAnsi="Times New Roman" w:cs="Times New Roman"/>
          <w:sz w:val="21"/>
          <w:szCs w:val="21"/>
        </w:rPr>
      </w:pPr>
      <w:r>
        <w:rPr>
          <w:rFonts w:ascii="Times New Roman" w:hAnsi="Times New Roman" w:cs="Times New Roman"/>
          <w:b/>
          <w:sz w:val="21"/>
          <w:szCs w:val="21"/>
        </w:rPr>
        <w:t>招标内容：</w:t>
      </w:r>
      <w:r>
        <w:rPr>
          <w:rFonts w:hint="eastAsia" w:ascii="Times New Roman" w:hAnsi="Times New Roman" w:cs="Times New Roman"/>
          <w:sz w:val="21"/>
          <w:szCs w:val="21"/>
        </w:rPr>
        <w:t>为实现“高安全、高可用、强兼容、自主可控”的建设目标，将加快构建纵深防御的安全体系，提升IPv6网络下的安全防护与流量监测能力，推进关键软硬件的国产化适配，全面打造适应新一代信息基础设施要求的安全可信技术支撑体系。本期项目主要是参照等级保护三级要求开展数据中心网络安全设备采购和网络优化工作。</w:t>
      </w:r>
      <w:r>
        <w:rPr>
          <w:rFonts w:ascii="Times New Roman" w:hAnsi="Times New Roman" w:cs="Times New Roman"/>
          <w:sz w:val="21"/>
          <w:szCs w:val="21"/>
        </w:rPr>
        <w:t>具体要求见第四章“服务需求及要求”。</w:t>
      </w:r>
    </w:p>
    <w:p w14:paraId="6878FB7F">
      <w:pPr>
        <w:numPr>
          <w:ilvl w:val="0"/>
          <w:numId w:val="5"/>
        </w:numPr>
        <w:spacing w:line="360" w:lineRule="auto"/>
        <w:rPr>
          <w:rFonts w:ascii="Times New Roman" w:hAnsi="Times New Roman" w:cs="Times New Roman"/>
          <w:b/>
          <w:bCs/>
          <w:sz w:val="21"/>
          <w:szCs w:val="21"/>
        </w:rPr>
      </w:pPr>
      <w:r>
        <w:rPr>
          <w:rFonts w:ascii="Times New Roman" w:hAnsi="Times New Roman" w:cs="Times New Roman"/>
          <w:b/>
          <w:bCs/>
          <w:sz w:val="21"/>
          <w:szCs w:val="21"/>
        </w:rPr>
        <w:t>合格</w:t>
      </w:r>
      <w:r>
        <w:rPr>
          <w:rFonts w:hint="eastAsia" w:ascii="Times New Roman" w:hAnsi="Times New Roman" w:cs="Times New Roman"/>
          <w:b/>
          <w:bCs/>
          <w:sz w:val="21"/>
          <w:szCs w:val="21"/>
        </w:rPr>
        <w:t>投标人</w:t>
      </w:r>
      <w:r>
        <w:rPr>
          <w:rFonts w:ascii="Times New Roman" w:hAnsi="Times New Roman" w:cs="Times New Roman"/>
          <w:b/>
          <w:bCs/>
          <w:sz w:val="21"/>
          <w:szCs w:val="21"/>
        </w:rPr>
        <w:t>：</w:t>
      </w:r>
      <w:r>
        <w:rPr>
          <w:rFonts w:ascii="Times New Roman" w:hAnsi="Times New Roman" w:cs="Times New Roman"/>
          <w:bCs/>
          <w:sz w:val="21"/>
          <w:szCs w:val="21"/>
        </w:rPr>
        <w:t>见第二章“</w:t>
      </w:r>
      <w:r>
        <w:rPr>
          <w:rFonts w:hint="eastAsia" w:ascii="Times New Roman" w:hAnsi="Times New Roman" w:cs="Times New Roman"/>
          <w:bCs/>
          <w:sz w:val="21"/>
          <w:szCs w:val="21"/>
        </w:rPr>
        <w:t>投标人</w:t>
      </w:r>
      <w:r>
        <w:rPr>
          <w:rFonts w:ascii="Times New Roman" w:hAnsi="Times New Roman" w:cs="Times New Roman"/>
          <w:bCs/>
          <w:sz w:val="21"/>
          <w:szCs w:val="21"/>
        </w:rPr>
        <w:t>须知”的第3条。</w:t>
      </w:r>
    </w:p>
    <w:p w14:paraId="2993DEFA">
      <w:pPr>
        <w:numPr>
          <w:ilvl w:val="0"/>
          <w:numId w:val="5"/>
        </w:numPr>
        <w:spacing w:line="360" w:lineRule="auto"/>
        <w:rPr>
          <w:rFonts w:ascii="Times New Roman" w:hAnsi="Times New Roman" w:cs="Times New Roman"/>
          <w:bCs/>
          <w:sz w:val="21"/>
          <w:szCs w:val="21"/>
        </w:rPr>
      </w:pPr>
      <w:r>
        <w:rPr>
          <w:rFonts w:ascii="Times New Roman" w:hAnsi="Times New Roman" w:cs="Times New Roman"/>
          <w:b/>
          <w:sz w:val="21"/>
          <w:szCs w:val="21"/>
        </w:rPr>
        <w:t>购</w:t>
      </w:r>
      <w:r>
        <w:rPr>
          <w:rFonts w:ascii="Times New Roman" w:hAnsi="Times New Roman" w:cs="Times New Roman"/>
          <w:b/>
          <w:bCs/>
          <w:sz w:val="21"/>
          <w:szCs w:val="21"/>
        </w:rPr>
        <w:t>买招标文件时间、地点</w:t>
      </w:r>
      <w:r>
        <w:rPr>
          <w:rFonts w:ascii="Times New Roman" w:hAnsi="Times New Roman" w:cs="Times New Roman"/>
          <w:b/>
          <w:sz w:val="21"/>
          <w:szCs w:val="21"/>
        </w:rPr>
        <w:t>：</w:t>
      </w:r>
    </w:p>
    <w:p w14:paraId="3396FBC9">
      <w:pPr>
        <w:numPr>
          <w:ilvl w:val="0"/>
          <w:numId w:val="6"/>
        </w:numPr>
        <w:spacing w:line="360" w:lineRule="auto"/>
        <w:ind w:left="851" w:hanging="425"/>
        <w:rPr>
          <w:rFonts w:ascii="Times New Roman" w:hAnsi="Times New Roman" w:cs="Times New Roman"/>
          <w:sz w:val="21"/>
          <w:szCs w:val="21"/>
        </w:rPr>
      </w:pPr>
      <w:r>
        <w:rPr>
          <w:rFonts w:ascii="Times New Roman" w:hAnsi="Times New Roman" w:cs="Times New Roman"/>
          <w:sz w:val="21"/>
          <w:szCs w:val="21"/>
        </w:rPr>
        <w:t>时间：202</w:t>
      </w:r>
      <w:r>
        <w:rPr>
          <w:rFonts w:hint="eastAsia" w:ascii="Times New Roman" w:hAnsi="Times New Roman" w:cs="Times New Roman"/>
          <w:sz w:val="21"/>
          <w:szCs w:val="21"/>
        </w:rPr>
        <w:t>5</w:t>
      </w:r>
      <w:r>
        <w:rPr>
          <w:rFonts w:ascii="Times New Roman" w:hAnsi="Times New Roman" w:cs="Times New Roman"/>
          <w:sz w:val="21"/>
          <w:szCs w:val="21"/>
        </w:rPr>
        <w:t>年</w:t>
      </w:r>
      <w:r>
        <w:rPr>
          <w:rFonts w:hint="eastAsia" w:ascii="Times New Roman" w:hAnsi="Times New Roman" w:cs="Times New Roman"/>
          <w:sz w:val="21"/>
          <w:szCs w:val="21"/>
        </w:rPr>
        <w:t>7</w:t>
      </w:r>
      <w:r>
        <w:rPr>
          <w:rFonts w:ascii="Times New Roman" w:hAnsi="Times New Roman" w:cs="Times New Roman"/>
          <w:sz w:val="21"/>
          <w:szCs w:val="21"/>
        </w:rPr>
        <w:t>月</w:t>
      </w:r>
      <w:r>
        <w:rPr>
          <w:rFonts w:hint="eastAsia" w:ascii="Times New Roman" w:hAnsi="Times New Roman" w:cs="Times New Roman"/>
          <w:sz w:val="21"/>
          <w:szCs w:val="21"/>
          <w:lang w:val="en-US" w:eastAsia="zh-CN"/>
        </w:rPr>
        <w:t>15</w:t>
      </w:r>
      <w:r>
        <w:rPr>
          <w:rFonts w:ascii="Times New Roman" w:hAnsi="Times New Roman" w:cs="Times New Roman"/>
          <w:sz w:val="21"/>
          <w:szCs w:val="21"/>
        </w:rPr>
        <w:t>日起至</w:t>
      </w:r>
      <w:r>
        <w:rPr>
          <w:rFonts w:hint="eastAsia" w:ascii="Times New Roman" w:hAnsi="Times New Roman" w:cs="Times New Roman"/>
          <w:sz w:val="21"/>
          <w:szCs w:val="21"/>
        </w:rPr>
        <w:t>20</w:t>
      </w:r>
      <w:r>
        <w:rPr>
          <w:rFonts w:ascii="Times New Roman" w:hAnsi="Times New Roman" w:cs="Times New Roman"/>
          <w:sz w:val="21"/>
          <w:szCs w:val="21"/>
        </w:rPr>
        <w:t>2</w:t>
      </w:r>
      <w:r>
        <w:rPr>
          <w:rFonts w:hint="eastAsia" w:ascii="Times New Roman" w:hAnsi="Times New Roman" w:cs="Times New Roman"/>
          <w:sz w:val="21"/>
          <w:szCs w:val="21"/>
        </w:rPr>
        <w:t>5</w:t>
      </w:r>
      <w:r>
        <w:rPr>
          <w:rFonts w:ascii="Times New Roman" w:hAnsi="Times New Roman" w:cs="Times New Roman"/>
          <w:sz w:val="21"/>
          <w:szCs w:val="21"/>
        </w:rPr>
        <w:t>年</w:t>
      </w:r>
      <w:r>
        <w:rPr>
          <w:rFonts w:hint="eastAsia" w:ascii="Times New Roman" w:hAnsi="Times New Roman" w:cs="Times New Roman"/>
          <w:sz w:val="21"/>
          <w:szCs w:val="21"/>
        </w:rPr>
        <w:t>7</w:t>
      </w:r>
      <w:r>
        <w:rPr>
          <w:rFonts w:ascii="Times New Roman" w:hAnsi="Times New Roman" w:cs="Times New Roman"/>
          <w:sz w:val="21"/>
          <w:szCs w:val="21"/>
        </w:rPr>
        <w:t>月</w:t>
      </w:r>
      <w:r>
        <w:rPr>
          <w:rFonts w:hint="eastAsia" w:ascii="Times New Roman" w:hAnsi="Times New Roman" w:cs="Times New Roman"/>
          <w:sz w:val="21"/>
          <w:szCs w:val="21"/>
          <w:lang w:val="en-US" w:eastAsia="zh-CN"/>
        </w:rPr>
        <w:t>21</w:t>
      </w:r>
      <w:r>
        <w:rPr>
          <w:rFonts w:ascii="Times New Roman" w:hAnsi="Times New Roman" w:cs="Times New Roman"/>
          <w:sz w:val="21"/>
          <w:szCs w:val="21"/>
        </w:rPr>
        <w:t>日，每天9时30分至11时30分，13时30分至16时30分（国家法定节假日可电汇或网银）。</w:t>
      </w:r>
    </w:p>
    <w:p w14:paraId="67598608">
      <w:pPr>
        <w:numPr>
          <w:ilvl w:val="0"/>
          <w:numId w:val="6"/>
        </w:numPr>
        <w:spacing w:line="360" w:lineRule="auto"/>
        <w:ind w:left="851" w:hanging="425"/>
        <w:rPr>
          <w:rFonts w:ascii="Times New Roman" w:hAnsi="Times New Roman" w:cs="Times New Roman"/>
          <w:sz w:val="21"/>
          <w:szCs w:val="21"/>
        </w:rPr>
      </w:pPr>
      <w:r>
        <w:rPr>
          <w:rFonts w:ascii="Times New Roman" w:hAnsi="Times New Roman" w:cs="Times New Roman"/>
          <w:sz w:val="21"/>
          <w:szCs w:val="21"/>
        </w:rPr>
        <w:t>地点：</w:t>
      </w:r>
      <w:r>
        <w:rPr>
          <w:rFonts w:hint="eastAsia" w:ascii="Times New Roman" w:hAnsi="Times New Roman" w:cs="Times New Roman"/>
          <w:sz w:val="21"/>
          <w:szCs w:val="21"/>
        </w:rPr>
        <w:t>北京市西城区广安门外大街甲275号6层605室</w:t>
      </w:r>
      <w:r>
        <w:rPr>
          <w:rFonts w:ascii="Times New Roman" w:hAnsi="Times New Roman" w:cs="Times New Roman"/>
          <w:sz w:val="21"/>
          <w:szCs w:val="21"/>
        </w:rPr>
        <w:t>。</w:t>
      </w:r>
    </w:p>
    <w:p w14:paraId="6C77AE14">
      <w:pPr>
        <w:numPr>
          <w:ilvl w:val="0"/>
          <w:numId w:val="6"/>
        </w:numPr>
        <w:spacing w:line="360" w:lineRule="auto"/>
        <w:ind w:left="851" w:hanging="425"/>
        <w:rPr>
          <w:rFonts w:ascii="Times New Roman" w:hAnsi="Times New Roman" w:cs="Times New Roman"/>
          <w:sz w:val="21"/>
          <w:szCs w:val="21"/>
        </w:rPr>
      </w:pPr>
      <w:r>
        <w:rPr>
          <w:rFonts w:ascii="Times New Roman" w:hAnsi="Times New Roman" w:cs="Times New Roman"/>
          <w:sz w:val="21"/>
          <w:szCs w:val="21"/>
        </w:rPr>
        <w:t>招标文件售价：</w:t>
      </w:r>
    </w:p>
    <w:p w14:paraId="33EDA76C">
      <w:pPr>
        <w:spacing w:line="360" w:lineRule="auto"/>
        <w:ind w:right="-226" w:rightChars="-94" w:firstLine="540"/>
        <w:rPr>
          <w:rFonts w:ascii="Times New Roman" w:hAnsi="Times New Roman" w:cs="Times New Roman"/>
          <w:sz w:val="21"/>
          <w:szCs w:val="21"/>
        </w:rPr>
      </w:pPr>
      <w:r>
        <w:rPr>
          <w:rFonts w:ascii="Times New Roman" w:hAnsi="Times New Roman" w:cs="Times New Roman"/>
          <w:sz w:val="21"/>
          <w:szCs w:val="21"/>
        </w:rPr>
        <w:t>每</w:t>
      </w:r>
      <w:r>
        <w:rPr>
          <w:rFonts w:hint="eastAsia" w:ascii="Times New Roman" w:hAnsi="Times New Roman" w:cs="Times New Roman"/>
          <w:sz w:val="21"/>
          <w:szCs w:val="21"/>
        </w:rPr>
        <w:t>本</w:t>
      </w:r>
      <w:r>
        <w:rPr>
          <w:rFonts w:ascii="Times New Roman" w:hAnsi="Times New Roman" w:cs="Times New Roman"/>
          <w:sz w:val="21"/>
          <w:szCs w:val="21"/>
        </w:rPr>
        <w:t>人民币</w:t>
      </w:r>
      <w:r>
        <w:rPr>
          <w:rFonts w:hint="eastAsia" w:ascii="Times New Roman" w:hAnsi="Times New Roman" w:cs="Times New Roman"/>
          <w:sz w:val="21"/>
          <w:szCs w:val="21"/>
        </w:rPr>
        <w:t>500</w:t>
      </w:r>
      <w:r>
        <w:rPr>
          <w:rFonts w:ascii="Times New Roman" w:hAnsi="Times New Roman" w:cs="Times New Roman"/>
          <w:sz w:val="21"/>
          <w:szCs w:val="21"/>
        </w:rPr>
        <w:t>元，售后不退。若邮购，须加付EMS费100元人民币。</w:t>
      </w:r>
    </w:p>
    <w:p w14:paraId="694C5A3E">
      <w:pPr>
        <w:spacing w:line="360" w:lineRule="auto"/>
        <w:ind w:right="-226" w:rightChars="-94" w:firstLine="540"/>
        <w:rPr>
          <w:rFonts w:ascii="Times New Roman" w:hAnsi="Times New Roman" w:cs="Times New Roman"/>
          <w:sz w:val="21"/>
          <w:szCs w:val="21"/>
        </w:rPr>
      </w:pPr>
      <w:r>
        <w:rPr>
          <w:rFonts w:hint="eastAsia" w:ascii="Times New Roman" w:hAnsi="Times New Roman" w:cs="Times New Roman"/>
          <w:sz w:val="21"/>
          <w:szCs w:val="21"/>
        </w:rPr>
        <w:t>购买方式：1）现场报名；</w:t>
      </w:r>
    </w:p>
    <w:p w14:paraId="18BF60D3">
      <w:pPr>
        <w:spacing w:line="360" w:lineRule="auto"/>
        <w:ind w:right="-226" w:rightChars="-94" w:firstLine="540"/>
        <w:rPr>
          <w:rFonts w:ascii="Times New Roman" w:hAnsi="Times New Roman" w:cs="Times New Roman"/>
          <w:sz w:val="21"/>
          <w:szCs w:val="21"/>
        </w:rPr>
      </w:pPr>
      <w:r>
        <w:rPr>
          <w:rFonts w:hint="eastAsia" w:ascii="Times New Roman" w:hAnsi="Times New Roman" w:cs="Times New Roman"/>
          <w:sz w:val="21"/>
          <w:szCs w:val="21"/>
        </w:rPr>
        <w:t>2）线上报名：</w:t>
      </w:r>
    </w:p>
    <w:p w14:paraId="7F98C780">
      <w:pPr>
        <w:spacing w:line="360" w:lineRule="auto"/>
        <w:ind w:firstLine="420" w:firstLineChars="200"/>
        <w:rPr>
          <w:rFonts w:ascii="Times New Roman" w:hAnsi="Times New Roman" w:cs="Times New Roman"/>
          <w:sz w:val="21"/>
          <w:szCs w:val="21"/>
        </w:rPr>
      </w:pPr>
      <w:r>
        <w:rPr>
          <w:rFonts w:hint="eastAsia" w:ascii="Times New Roman" w:hAnsi="Times New Roman" w:cs="Times New Roman"/>
          <w:bCs/>
          <w:sz w:val="21"/>
          <w:szCs w:val="21"/>
        </w:rPr>
        <w:t>投标人</w:t>
      </w:r>
      <w:r>
        <w:rPr>
          <w:rFonts w:hint="eastAsia" w:ascii="Times New Roman" w:hAnsi="Times New Roman" w:cs="Times New Roman"/>
          <w:sz w:val="21"/>
          <w:szCs w:val="21"/>
        </w:rPr>
        <w:t>线上报名</w:t>
      </w:r>
      <w:r>
        <w:fldChar w:fldCharType="begin"/>
      </w:r>
      <w:r>
        <w:instrText xml:space="preserve"> HYPERLINK "mailto:请将电汇底单及以下表格发邮件至jowena@163.com" </w:instrText>
      </w:r>
      <w:r>
        <w:fldChar w:fldCharType="separate"/>
      </w:r>
      <w:r>
        <w:rPr>
          <w:rStyle w:val="36"/>
          <w:rFonts w:ascii="Times New Roman" w:hAnsi="Times New Roman" w:cs="Times New Roman"/>
          <w:b/>
          <w:color w:val="auto"/>
          <w:sz w:val="21"/>
          <w:szCs w:val="21"/>
        </w:rPr>
        <w:t>请将</w:t>
      </w:r>
      <w:r>
        <w:rPr>
          <w:rStyle w:val="36"/>
          <w:rFonts w:hint="eastAsia" w:ascii="Times New Roman" w:hAnsi="Times New Roman" w:cs="Times New Roman"/>
          <w:b/>
          <w:color w:val="auto"/>
          <w:sz w:val="21"/>
          <w:szCs w:val="21"/>
          <w:lang w:val="en-US" w:eastAsia="zh-CN"/>
        </w:rPr>
        <w:t>标书汇款凭证</w:t>
      </w:r>
      <w:r>
        <w:rPr>
          <w:rStyle w:val="36"/>
          <w:rFonts w:ascii="Times New Roman" w:hAnsi="Times New Roman" w:cs="Times New Roman"/>
          <w:b/>
          <w:color w:val="auto"/>
          <w:sz w:val="21"/>
          <w:szCs w:val="21"/>
        </w:rPr>
        <w:t>及以下表格发邮件至</w:t>
      </w:r>
      <w:r>
        <w:rPr>
          <w:rStyle w:val="36"/>
          <w:rFonts w:hint="eastAsia" w:ascii="Times New Roman" w:hAnsi="Times New Roman" w:cs="Times New Roman"/>
          <w:b/>
          <w:color w:val="auto"/>
          <w:sz w:val="21"/>
          <w:szCs w:val="21"/>
        </w:rPr>
        <w:t>renyingjie@biecc.com.cn</w:t>
      </w:r>
      <w:r>
        <w:rPr>
          <w:rStyle w:val="36"/>
          <w:color w:val="auto"/>
        </w:rPr>
        <w:t xml:space="preserve"> </w:t>
      </w:r>
      <w:r>
        <w:rPr>
          <w:rStyle w:val="36"/>
          <w:color w:val="auto"/>
        </w:rPr>
        <w:fldChar w:fldCharType="end"/>
      </w:r>
      <w:r>
        <w:rPr>
          <w:rStyle w:val="36"/>
          <w:rFonts w:ascii="Times New Roman" w:hAnsi="Times New Roman" w:cs="Times New Roman"/>
          <w:color w:val="auto"/>
          <w:sz w:val="21"/>
          <w:szCs w:val="21"/>
          <w:u w:val="none"/>
        </w:rPr>
        <w:t>，</w:t>
      </w:r>
      <w:r>
        <w:rPr>
          <w:rFonts w:ascii="Times New Roman" w:hAnsi="Times New Roman" w:cs="Times New Roman"/>
          <w:sz w:val="21"/>
          <w:szCs w:val="21"/>
        </w:rPr>
        <w:t>邮件主题请填写：</w:t>
      </w:r>
      <w:r>
        <w:rPr>
          <w:rFonts w:ascii="Times New Roman" w:hAnsi="Times New Roman" w:cs="Times New Roman"/>
          <w:b/>
          <w:sz w:val="21"/>
          <w:szCs w:val="21"/>
        </w:rPr>
        <w:t>购买标书+项目编号</w:t>
      </w:r>
      <w:r>
        <w:rPr>
          <w:rFonts w:hint="eastAsia" w:ascii="Times New Roman" w:hAnsi="Times New Roman" w:cs="Times New Roman"/>
          <w:b/>
          <w:sz w:val="21"/>
          <w:szCs w:val="21"/>
        </w:rPr>
        <w:t>+公司名称</w:t>
      </w:r>
      <w:r>
        <w:rPr>
          <w:rFonts w:ascii="Times New Roman" w:hAnsi="Times New Roman" w:cs="Times New Roman"/>
          <w:sz w:val="21"/>
          <w:szCs w:val="21"/>
        </w:rPr>
        <w:t>。发完邮件后请打</w:t>
      </w:r>
      <w:r>
        <w:rPr>
          <w:rFonts w:hint="eastAsia" w:ascii="Times New Roman" w:hAnsi="Times New Roman" w:cs="Times New Roman"/>
          <w:sz w:val="21"/>
          <w:szCs w:val="21"/>
        </w:rPr>
        <w:t>招标公告</w:t>
      </w:r>
      <w:r>
        <w:rPr>
          <w:rFonts w:ascii="Times New Roman" w:hAnsi="Times New Roman" w:cs="Times New Roman"/>
          <w:sz w:val="21"/>
          <w:szCs w:val="21"/>
        </w:rPr>
        <w:t>中的电话确认。若电汇、网银或邮购，标书款必须于</w:t>
      </w:r>
      <w:r>
        <w:rPr>
          <w:rFonts w:hint="eastAsia" w:ascii="Times New Roman" w:hAnsi="Times New Roman" w:cs="Times New Roman"/>
          <w:sz w:val="21"/>
          <w:szCs w:val="21"/>
        </w:rPr>
        <w:t>20</w:t>
      </w:r>
      <w:r>
        <w:rPr>
          <w:rFonts w:ascii="Times New Roman" w:hAnsi="Times New Roman" w:cs="Times New Roman"/>
          <w:sz w:val="21"/>
          <w:szCs w:val="21"/>
        </w:rPr>
        <w:t>2</w:t>
      </w:r>
      <w:r>
        <w:rPr>
          <w:rFonts w:hint="eastAsia" w:ascii="Times New Roman" w:hAnsi="Times New Roman" w:cs="Times New Roman"/>
          <w:sz w:val="21"/>
          <w:szCs w:val="21"/>
        </w:rPr>
        <w:t>5</w:t>
      </w:r>
      <w:r>
        <w:rPr>
          <w:rFonts w:ascii="Times New Roman" w:hAnsi="Times New Roman" w:cs="Times New Roman"/>
          <w:sz w:val="21"/>
          <w:szCs w:val="21"/>
        </w:rPr>
        <w:t>年</w:t>
      </w:r>
      <w:r>
        <w:rPr>
          <w:rFonts w:hint="eastAsia" w:ascii="Times New Roman" w:hAnsi="Times New Roman" w:cs="Times New Roman"/>
          <w:sz w:val="21"/>
          <w:szCs w:val="21"/>
        </w:rPr>
        <w:t>7</w:t>
      </w:r>
      <w:r>
        <w:rPr>
          <w:rFonts w:ascii="Times New Roman" w:hAnsi="Times New Roman" w:cs="Times New Roman"/>
          <w:sz w:val="21"/>
          <w:szCs w:val="21"/>
        </w:rPr>
        <w:t>月</w:t>
      </w:r>
      <w:r>
        <w:rPr>
          <w:rFonts w:hint="eastAsia" w:ascii="Times New Roman" w:hAnsi="Times New Roman" w:cs="Times New Roman"/>
          <w:sz w:val="21"/>
          <w:szCs w:val="21"/>
          <w:lang w:val="en-US" w:eastAsia="zh-CN"/>
        </w:rPr>
        <w:t>21</w:t>
      </w:r>
      <w:r>
        <w:rPr>
          <w:rFonts w:ascii="Times New Roman" w:hAnsi="Times New Roman" w:cs="Times New Roman"/>
          <w:sz w:val="21"/>
          <w:szCs w:val="21"/>
        </w:rPr>
        <w:t>日16:30前到账</w:t>
      </w:r>
    </w:p>
    <w:tbl>
      <w:tblPr>
        <w:tblStyle w:val="3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1CA8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740E949">
            <w:pPr>
              <w:spacing w:line="360" w:lineRule="auto"/>
              <w:rPr>
                <w:rFonts w:ascii="Times New Roman" w:hAnsi="Times New Roman" w:cs="Times New Roman"/>
                <w:sz w:val="21"/>
                <w:szCs w:val="21"/>
              </w:rPr>
            </w:pPr>
            <w:r>
              <w:rPr>
                <w:rFonts w:ascii="Times New Roman" w:hAnsi="Times New Roman" w:cs="Times New Roman"/>
                <w:sz w:val="21"/>
                <w:szCs w:val="21"/>
              </w:rPr>
              <w:t>项目编号</w:t>
            </w:r>
          </w:p>
        </w:tc>
        <w:tc>
          <w:tcPr>
            <w:tcW w:w="5103" w:type="dxa"/>
            <w:vAlign w:val="center"/>
          </w:tcPr>
          <w:p w14:paraId="6203844F">
            <w:pPr>
              <w:spacing w:line="360" w:lineRule="auto"/>
              <w:rPr>
                <w:rFonts w:ascii="Times New Roman" w:hAnsi="Times New Roman" w:cs="Times New Roman"/>
                <w:sz w:val="21"/>
                <w:szCs w:val="21"/>
              </w:rPr>
            </w:pPr>
          </w:p>
        </w:tc>
      </w:tr>
      <w:tr w14:paraId="1424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770B2A1">
            <w:pPr>
              <w:spacing w:line="360" w:lineRule="auto"/>
              <w:rPr>
                <w:rFonts w:ascii="Times New Roman" w:hAnsi="Times New Roman" w:cs="Times New Roman"/>
                <w:sz w:val="21"/>
                <w:szCs w:val="21"/>
              </w:rPr>
            </w:pPr>
            <w:r>
              <w:rPr>
                <w:rFonts w:ascii="Times New Roman" w:hAnsi="Times New Roman" w:cs="Times New Roman"/>
                <w:sz w:val="21"/>
                <w:szCs w:val="21"/>
              </w:rPr>
              <w:t>包号（</w:t>
            </w:r>
            <w:r>
              <w:rPr>
                <w:rFonts w:hint="eastAsia" w:ascii="Times New Roman" w:hAnsi="Times New Roman" w:cs="Times New Roman"/>
                <w:sz w:val="21"/>
                <w:szCs w:val="21"/>
              </w:rPr>
              <w:t>如</w:t>
            </w:r>
            <w:r>
              <w:rPr>
                <w:rFonts w:ascii="Times New Roman" w:hAnsi="Times New Roman" w:cs="Times New Roman"/>
                <w:sz w:val="21"/>
                <w:szCs w:val="21"/>
              </w:rPr>
              <w:t>有）</w:t>
            </w:r>
          </w:p>
        </w:tc>
        <w:tc>
          <w:tcPr>
            <w:tcW w:w="5103" w:type="dxa"/>
            <w:vAlign w:val="center"/>
          </w:tcPr>
          <w:p w14:paraId="58499779">
            <w:pPr>
              <w:spacing w:line="360" w:lineRule="auto"/>
              <w:rPr>
                <w:rFonts w:ascii="Times New Roman" w:hAnsi="Times New Roman" w:cs="Times New Roman"/>
                <w:sz w:val="21"/>
                <w:szCs w:val="21"/>
              </w:rPr>
            </w:pPr>
          </w:p>
        </w:tc>
      </w:tr>
      <w:tr w14:paraId="410E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BD83E2E">
            <w:pPr>
              <w:spacing w:line="360" w:lineRule="auto"/>
              <w:rPr>
                <w:rFonts w:ascii="Times New Roman" w:hAnsi="Times New Roman" w:cs="Times New Roman"/>
                <w:sz w:val="21"/>
                <w:szCs w:val="21"/>
              </w:rPr>
            </w:pPr>
            <w:r>
              <w:rPr>
                <w:rFonts w:ascii="Times New Roman" w:hAnsi="Times New Roman" w:cs="Times New Roman"/>
                <w:sz w:val="21"/>
                <w:szCs w:val="21"/>
              </w:rPr>
              <w:t>公司名称</w:t>
            </w:r>
          </w:p>
        </w:tc>
        <w:tc>
          <w:tcPr>
            <w:tcW w:w="5103" w:type="dxa"/>
            <w:vAlign w:val="center"/>
          </w:tcPr>
          <w:p w14:paraId="36725DC4">
            <w:pPr>
              <w:spacing w:line="360" w:lineRule="auto"/>
              <w:rPr>
                <w:rFonts w:ascii="Times New Roman" w:hAnsi="Times New Roman" w:cs="Times New Roman"/>
                <w:sz w:val="21"/>
                <w:szCs w:val="21"/>
              </w:rPr>
            </w:pPr>
          </w:p>
        </w:tc>
      </w:tr>
      <w:tr w14:paraId="48C3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82B848F">
            <w:pPr>
              <w:spacing w:line="360" w:lineRule="auto"/>
              <w:rPr>
                <w:rFonts w:ascii="Times New Roman" w:hAnsi="Times New Roman" w:cs="Times New Roman"/>
                <w:sz w:val="21"/>
                <w:szCs w:val="21"/>
              </w:rPr>
            </w:pPr>
            <w:r>
              <w:rPr>
                <w:rFonts w:ascii="Times New Roman" w:hAnsi="Times New Roman" w:cs="Times New Roman"/>
                <w:sz w:val="21"/>
                <w:szCs w:val="21"/>
              </w:rPr>
              <w:t>纳税人识别号</w:t>
            </w:r>
          </w:p>
        </w:tc>
        <w:tc>
          <w:tcPr>
            <w:tcW w:w="5103" w:type="dxa"/>
            <w:vAlign w:val="center"/>
          </w:tcPr>
          <w:p w14:paraId="48AC0F1A">
            <w:pPr>
              <w:spacing w:line="360" w:lineRule="auto"/>
              <w:rPr>
                <w:rFonts w:ascii="Times New Roman" w:hAnsi="Times New Roman" w:cs="Times New Roman"/>
                <w:sz w:val="21"/>
                <w:szCs w:val="21"/>
              </w:rPr>
            </w:pPr>
          </w:p>
        </w:tc>
      </w:tr>
      <w:tr w14:paraId="7583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4D3AFB3">
            <w:pPr>
              <w:spacing w:line="360" w:lineRule="auto"/>
              <w:rPr>
                <w:rFonts w:ascii="Times New Roman" w:hAnsi="Times New Roman" w:cs="Times New Roman"/>
                <w:sz w:val="21"/>
                <w:szCs w:val="21"/>
              </w:rPr>
            </w:pPr>
            <w:r>
              <w:rPr>
                <w:rFonts w:ascii="Times New Roman" w:hAnsi="Times New Roman" w:cs="Times New Roman"/>
                <w:sz w:val="21"/>
                <w:szCs w:val="21"/>
              </w:rPr>
              <w:t>公司地址</w:t>
            </w:r>
          </w:p>
        </w:tc>
        <w:tc>
          <w:tcPr>
            <w:tcW w:w="5103" w:type="dxa"/>
            <w:vAlign w:val="center"/>
          </w:tcPr>
          <w:p w14:paraId="2BAE9CFC">
            <w:pPr>
              <w:spacing w:line="360" w:lineRule="auto"/>
              <w:rPr>
                <w:rFonts w:ascii="Times New Roman" w:hAnsi="Times New Roman" w:cs="Times New Roman"/>
                <w:sz w:val="21"/>
                <w:szCs w:val="21"/>
              </w:rPr>
            </w:pPr>
          </w:p>
        </w:tc>
      </w:tr>
      <w:tr w14:paraId="6361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BBFE49C">
            <w:pPr>
              <w:spacing w:line="360" w:lineRule="auto"/>
              <w:rPr>
                <w:rFonts w:ascii="Times New Roman" w:hAnsi="Times New Roman" w:cs="Times New Roman"/>
                <w:sz w:val="21"/>
                <w:szCs w:val="21"/>
              </w:rPr>
            </w:pPr>
            <w:r>
              <w:rPr>
                <w:rFonts w:ascii="Times New Roman" w:hAnsi="Times New Roman" w:cs="Times New Roman"/>
                <w:sz w:val="21"/>
                <w:szCs w:val="21"/>
              </w:rPr>
              <w:t>联系人</w:t>
            </w:r>
          </w:p>
        </w:tc>
        <w:tc>
          <w:tcPr>
            <w:tcW w:w="5103" w:type="dxa"/>
            <w:vAlign w:val="center"/>
          </w:tcPr>
          <w:p w14:paraId="318EFC84">
            <w:pPr>
              <w:spacing w:line="360" w:lineRule="auto"/>
              <w:rPr>
                <w:rFonts w:ascii="Times New Roman" w:hAnsi="Times New Roman" w:cs="Times New Roman"/>
                <w:sz w:val="21"/>
                <w:szCs w:val="21"/>
              </w:rPr>
            </w:pPr>
          </w:p>
        </w:tc>
      </w:tr>
      <w:tr w14:paraId="2696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6CB70CB">
            <w:pPr>
              <w:spacing w:line="360" w:lineRule="auto"/>
              <w:rPr>
                <w:rFonts w:ascii="Times New Roman" w:hAnsi="Times New Roman" w:cs="Times New Roman"/>
                <w:sz w:val="21"/>
                <w:szCs w:val="21"/>
              </w:rPr>
            </w:pPr>
            <w:r>
              <w:rPr>
                <w:rFonts w:ascii="Times New Roman" w:hAnsi="Times New Roman" w:cs="Times New Roman"/>
                <w:sz w:val="21"/>
                <w:szCs w:val="21"/>
              </w:rPr>
              <w:t>联系电话</w:t>
            </w:r>
          </w:p>
        </w:tc>
        <w:tc>
          <w:tcPr>
            <w:tcW w:w="5103" w:type="dxa"/>
            <w:vAlign w:val="center"/>
          </w:tcPr>
          <w:p w14:paraId="3E82FC62">
            <w:pPr>
              <w:spacing w:line="360" w:lineRule="auto"/>
              <w:rPr>
                <w:rFonts w:ascii="Times New Roman" w:hAnsi="Times New Roman" w:cs="Times New Roman"/>
                <w:sz w:val="21"/>
                <w:szCs w:val="21"/>
              </w:rPr>
            </w:pPr>
          </w:p>
        </w:tc>
      </w:tr>
    </w:tbl>
    <w:p w14:paraId="0468BA14">
      <w:pPr>
        <w:spacing w:line="360" w:lineRule="auto"/>
        <w:ind w:right="-226" w:rightChars="-94" w:firstLine="540"/>
        <w:rPr>
          <w:rFonts w:ascii="Times New Roman" w:hAnsi="Times New Roman" w:cs="Times New Roman"/>
          <w:sz w:val="21"/>
          <w:szCs w:val="21"/>
        </w:rPr>
      </w:pPr>
      <w:r>
        <w:rPr>
          <w:rFonts w:hint="eastAsia" w:ascii="Times New Roman" w:hAnsi="Times New Roman" w:cs="Times New Roman"/>
          <w:sz w:val="21"/>
          <w:szCs w:val="21"/>
        </w:rPr>
        <w:t>电子版招标文件免费下载方式：登陆www.biecc.com.cn，进入主页后点击“公司动态——招标代理——标书下载”（免费下载）。</w:t>
      </w:r>
    </w:p>
    <w:p w14:paraId="1A7EBEC0">
      <w:pPr>
        <w:numPr>
          <w:ilvl w:val="0"/>
          <w:numId w:val="5"/>
        </w:numPr>
        <w:spacing w:line="360" w:lineRule="auto"/>
        <w:rPr>
          <w:rFonts w:ascii="Times New Roman" w:hAnsi="Times New Roman" w:cs="Times New Roman"/>
          <w:b/>
          <w:sz w:val="21"/>
          <w:szCs w:val="21"/>
        </w:rPr>
      </w:pPr>
      <w:r>
        <w:rPr>
          <w:rFonts w:ascii="Times New Roman" w:hAnsi="Times New Roman" w:cs="Times New Roman"/>
          <w:b/>
          <w:sz w:val="21"/>
          <w:szCs w:val="21"/>
        </w:rPr>
        <w:t>投标截止时间及开标时间、地点：</w:t>
      </w:r>
    </w:p>
    <w:p w14:paraId="61D6CDE4">
      <w:pPr>
        <w:numPr>
          <w:ilvl w:val="0"/>
          <w:numId w:val="1"/>
        </w:numPr>
        <w:spacing w:line="360" w:lineRule="auto"/>
        <w:rPr>
          <w:rFonts w:ascii="Times New Roman" w:hAnsi="Times New Roman" w:cs="Times New Roman"/>
          <w:sz w:val="21"/>
          <w:szCs w:val="21"/>
        </w:rPr>
      </w:pPr>
      <w:r>
        <w:rPr>
          <w:rFonts w:ascii="Times New Roman" w:hAnsi="Times New Roman" w:cs="Times New Roman"/>
          <w:sz w:val="21"/>
          <w:szCs w:val="21"/>
        </w:rPr>
        <w:t>投标截止时间及开标时间：</w:t>
      </w:r>
      <w:r>
        <w:rPr>
          <w:rFonts w:hint="eastAsia" w:ascii="Times New Roman" w:hAnsi="Times New Roman" w:cs="Times New Roman"/>
          <w:sz w:val="21"/>
          <w:szCs w:val="21"/>
        </w:rPr>
        <w:t>20</w:t>
      </w:r>
      <w:r>
        <w:rPr>
          <w:rFonts w:ascii="Times New Roman" w:hAnsi="Times New Roman" w:cs="Times New Roman"/>
          <w:sz w:val="21"/>
          <w:szCs w:val="21"/>
        </w:rPr>
        <w:t>2</w:t>
      </w:r>
      <w:r>
        <w:rPr>
          <w:rFonts w:hint="eastAsia" w:ascii="Times New Roman" w:hAnsi="Times New Roman" w:cs="Times New Roman"/>
          <w:sz w:val="21"/>
          <w:szCs w:val="21"/>
        </w:rPr>
        <w:t>5</w:t>
      </w:r>
      <w:r>
        <w:rPr>
          <w:rFonts w:ascii="Times New Roman" w:hAnsi="Times New Roman" w:cs="Times New Roman"/>
          <w:sz w:val="21"/>
          <w:szCs w:val="21"/>
        </w:rPr>
        <w:t>年</w:t>
      </w:r>
      <w:r>
        <w:rPr>
          <w:rFonts w:hint="eastAsia" w:ascii="Times New Roman" w:hAnsi="Times New Roman" w:cs="Times New Roman"/>
          <w:sz w:val="21"/>
          <w:szCs w:val="21"/>
          <w:lang w:val="en-US" w:eastAsia="zh-CN"/>
        </w:rPr>
        <w:t>8</w:t>
      </w:r>
      <w:r>
        <w:rPr>
          <w:rFonts w:ascii="Times New Roman" w:hAnsi="Times New Roman" w:cs="Times New Roman"/>
          <w:sz w:val="21"/>
          <w:szCs w:val="21"/>
        </w:rPr>
        <w:t>月</w:t>
      </w:r>
      <w:r>
        <w:rPr>
          <w:rFonts w:hint="eastAsia" w:ascii="Times New Roman" w:hAnsi="Times New Roman" w:cs="Times New Roman"/>
          <w:sz w:val="21"/>
          <w:szCs w:val="21"/>
          <w:lang w:val="en-US" w:eastAsia="zh-CN"/>
        </w:rPr>
        <w:t>5</w:t>
      </w:r>
      <w:r>
        <w:rPr>
          <w:rFonts w:ascii="Times New Roman" w:hAnsi="Times New Roman" w:cs="Times New Roman"/>
          <w:sz w:val="21"/>
          <w:szCs w:val="21"/>
        </w:rPr>
        <w:t>日</w:t>
      </w:r>
      <w:r>
        <w:rPr>
          <w:rFonts w:hint="eastAsia" w:ascii="Times New Roman" w:hAnsi="Times New Roman" w:cs="Times New Roman"/>
          <w:sz w:val="21"/>
          <w:szCs w:val="21"/>
        </w:rPr>
        <w:t>上</w:t>
      </w:r>
      <w:r>
        <w:rPr>
          <w:rFonts w:ascii="Times New Roman" w:hAnsi="Times New Roman" w:cs="Times New Roman"/>
          <w:sz w:val="21"/>
          <w:szCs w:val="21"/>
        </w:rPr>
        <w:t>午</w:t>
      </w:r>
      <w:r>
        <w:rPr>
          <w:rFonts w:hint="eastAsia" w:ascii="Times New Roman" w:hAnsi="Times New Roman" w:cs="Times New Roman"/>
          <w:sz w:val="21"/>
          <w:szCs w:val="21"/>
        </w:rPr>
        <w:t>9</w:t>
      </w:r>
      <w:r>
        <w:rPr>
          <w:rFonts w:ascii="Times New Roman" w:hAnsi="Times New Roman" w:cs="Times New Roman"/>
          <w:sz w:val="21"/>
          <w:szCs w:val="21"/>
        </w:rPr>
        <w:t>时</w:t>
      </w:r>
      <w:r>
        <w:rPr>
          <w:rFonts w:hint="eastAsia" w:ascii="Times New Roman" w:hAnsi="Times New Roman" w:cs="Times New Roman"/>
          <w:sz w:val="21"/>
          <w:szCs w:val="21"/>
        </w:rPr>
        <w:t>30</w:t>
      </w:r>
      <w:r>
        <w:rPr>
          <w:rFonts w:ascii="Times New Roman" w:hAnsi="Times New Roman" w:cs="Times New Roman"/>
          <w:sz w:val="21"/>
          <w:szCs w:val="21"/>
        </w:rPr>
        <w:t xml:space="preserve">分（北京时间）。 </w:t>
      </w:r>
    </w:p>
    <w:p w14:paraId="7E4C0D19">
      <w:pPr>
        <w:numPr>
          <w:ilvl w:val="0"/>
          <w:numId w:val="1"/>
        </w:numPr>
        <w:spacing w:line="360" w:lineRule="auto"/>
        <w:rPr>
          <w:rFonts w:ascii="Times New Roman" w:hAnsi="Times New Roman" w:cs="Times New Roman"/>
          <w:sz w:val="21"/>
          <w:szCs w:val="21"/>
          <w:u w:val="single"/>
        </w:rPr>
      </w:pPr>
      <w:r>
        <w:rPr>
          <w:rFonts w:ascii="Times New Roman" w:hAnsi="Times New Roman" w:cs="Times New Roman"/>
          <w:sz w:val="21"/>
          <w:szCs w:val="21"/>
        </w:rPr>
        <w:t>投标及开标地点：</w:t>
      </w:r>
      <w:r>
        <w:rPr>
          <w:rFonts w:hint="eastAsia" w:ascii="Times New Roman" w:hAnsi="Times New Roman" w:cs="Times New Roman"/>
          <w:sz w:val="21"/>
          <w:szCs w:val="21"/>
        </w:rPr>
        <w:t>北京市西城区广安门外大街甲275号</w:t>
      </w: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层</w:t>
      </w:r>
      <w:r>
        <w:rPr>
          <w:rFonts w:hint="eastAsia" w:ascii="Times New Roman" w:hAnsi="Times New Roman" w:cs="Times New Roman"/>
          <w:sz w:val="21"/>
          <w:szCs w:val="21"/>
          <w:lang w:val="en-US" w:eastAsia="zh-CN"/>
        </w:rPr>
        <w:t>602</w:t>
      </w:r>
      <w:r>
        <w:rPr>
          <w:rFonts w:hint="eastAsia" w:ascii="Times New Roman" w:hAnsi="Times New Roman" w:cs="Times New Roman"/>
          <w:sz w:val="21"/>
          <w:szCs w:val="21"/>
        </w:rPr>
        <w:t>室。</w:t>
      </w:r>
    </w:p>
    <w:p w14:paraId="0DAB6C81">
      <w:pPr>
        <w:numPr>
          <w:ilvl w:val="0"/>
          <w:numId w:val="5"/>
        </w:numPr>
        <w:spacing w:line="360" w:lineRule="auto"/>
        <w:rPr>
          <w:rFonts w:ascii="Times New Roman" w:hAnsi="Times New Roman" w:cs="Times New Roman"/>
          <w:b/>
          <w:sz w:val="21"/>
          <w:szCs w:val="21"/>
        </w:rPr>
      </w:pPr>
      <w:r>
        <w:rPr>
          <w:rFonts w:ascii="Times New Roman" w:hAnsi="Times New Roman" w:cs="Times New Roman"/>
          <w:b/>
          <w:sz w:val="21"/>
          <w:szCs w:val="21"/>
        </w:rPr>
        <w:t>评标办法：</w:t>
      </w:r>
      <w:r>
        <w:rPr>
          <w:rFonts w:ascii="Times New Roman" w:hAnsi="Times New Roman" w:cs="Times New Roman"/>
          <w:sz w:val="21"/>
          <w:szCs w:val="21"/>
        </w:rPr>
        <w:t>综合评分法。</w:t>
      </w:r>
    </w:p>
    <w:p w14:paraId="378971A8">
      <w:pPr>
        <w:numPr>
          <w:ilvl w:val="0"/>
          <w:numId w:val="5"/>
        </w:numPr>
        <w:spacing w:line="360" w:lineRule="auto"/>
        <w:rPr>
          <w:rFonts w:ascii="Times New Roman" w:hAnsi="Times New Roman" w:cs="Times New Roman"/>
          <w:b/>
          <w:sz w:val="21"/>
          <w:szCs w:val="21"/>
        </w:rPr>
      </w:pPr>
      <w:r>
        <w:rPr>
          <w:rFonts w:ascii="Times New Roman" w:hAnsi="Times New Roman" w:cs="Times New Roman"/>
          <w:b/>
          <w:sz w:val="21"/>
          <w:szCs w:val="21"/>
        </w:rPr>
        <w:t>其他：</w:t>
      </w:r>
      <w:r>
        <w:rPr>
          <w:rFonts w:ascii="Times New Roman" w:hAnsi="Times New Roman" w:cs="Times New Roman"/>
          <w:sz w:val="21"/>
          <w:szCs w:val="21"/>
        </w:rPr>
        <w:t>投标文件请于开标当日（投标截止时间之前）递交至开标地点，逾期恕不</w:t>
      </w:r>
      <w:bookmarkStart w:id="1967" w:name="_GoBack"/>
      <w:bookmarkEnd w:id="1967"/>
      <w:r>
        <w:rPr>
          <w:rFonts w:ascii="Times New Roman" w:hAnsi="Times New Roman" w:cs="Times New Roman"/>
          <w:sz w:val="21"/>
          <w:szCs w:val="21"/>
        </w:rPr>
        <w:t>接受。届时请投标人派代表参加开标仪式。</w:t>
      </w:r>
    </w:p>
    <w:p w14:paraId="6494C4BF">
      <w:pPr>
        <w:spacing w:line="360" w:lineRule="auto"/>
        <w:ind w:firstLine="472" w:firstLineChars="224"/>
        <w:rPr>
          <w:rFonts w:ascii="Times New Roman" w:hAnsi="Times New Roman" w:cs="Times New Roman"/>
          <w:b/>
          <w:sz w:val="21"/>
          <w:szCs w:val="21"/>
        </w:rPr>
      </w:pPr>
      <w:r>
        <w:rPr>
          <w:rFonts w:ascii="Times New Roman" w:hAnsi="Times New Roman" w:cs="Times New Roman"/>
          <w:b/>
          <w:sz w:val="21"/>
          <w:szCs w:val="21"/>
        </w:rPr>
        <w:t>招标代理机构：北京国际工程咨询有限公司</w:t>
      </w:r>
    </w:p>
    <w:p w14:paraId="75623BF8">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北京市西城区广安门外大街甲275号</w:t>
      </w:r>
    </w:p>
    <w:p w14:paraId="61169FD7">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邮编：1000</w:t>
      </w:r>
      <w:r>
        <w:rPr>
          <w:rFonts w:hint="eastAsia" w:ascii="Times New Roman" w:hAnsi="Times New Roman" w:cs="Times New Roman"/>
          <w:sz w:val="21"/>
          <w:szCs w:val="21"/>
        </w:rPr>
        <w:t>55</w:t>
      </w:r>
    </w:p>
    <w:p w14:paraId="1780BBD8">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开户银行：</w:t>
      </w:r>
      <w:r>
        <w:rPr>
          <w:rFonts w:hint="eastAsia" w:ascii="Times New Roman" w:hAnsi="Times New Roman" w:cs="Times New Roman"/>
          <w:sz w:val="21"/>
          <w:szCs w:val="21"/>
        </w:rPr>
        <w:t>交通银行北京右安门支行</w:t>
      </w:r>
    </w:p>
    <w:p w14:paraId="031F556C">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帐号：</w:t>
      </w:r>
      <w:r>
        <w:rPr>
          <w:rFonts w:hint="eastAsia" w:ascii="Times New Roman" w:hAnsi="Times New Roman" w:cs="Times New Roman"/>
          <w:sz w:val="21"/>
          <w:szCs w:val="21"/>
        </w:rPr>
        <w:t>81100602610130021000001</w:t>
      </w:r>
      <w:r>
        <w:rPr>
          <w:rFonts w:ascii="Times New Roman" w:hAnsi="Times New Roman" w:cs="Times New Roman"/>
          <w:sz w:val="21"/>
          <w:szCs w:val="21"/>
        </w:rPr>
        <w:cr/>
      </w:r>
      <w:r>
        <w:rPr>
          <w:rFonts w:ascii="Times New Roman" w:hAnsi="Times New Roman" w:cs="Times New Roman"/>
          <w:sz w:val="21"/>
          <w:szCs w:val="21"/>
        </w:rPr>
        <w:t>项目联系人：</w:t>
      </w:r>
      <w:r>
        <w:rPr>
          <w:rFonts w:hint="eastAsia" w:ascii="Times New Roman" w:hAnsi="Times New Roman" w:cs="Times New Roman"/>
          <w:sz w:val="21"/>
          <w:szCs w:val="21"/>
        </w:rPr>
        <w:t>崔云龙、任英杰</w:t>
      </w:r>
    </w:p>
    <w:p w14:paraId="1722179B">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联系电话：</w:t>
      </w:r>
      <w:r>
        <w:rPr>
          <w:rFonts w:hint="eastAsia" w:ascii="Times New Roman" w:hAnsi="Times New Roman" w:cs="Times New Roman"/>
          <w:sz w:val="21"/>
          <w:szCs w:val="21"/>
        </w:rPr>
        <w:t>010-63256361转5166</w:t>
      </w:r>
    </w:p>
    <w:p w14:paraId="1AD3A811">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电子邮箱：</w:t>
      </w:r>
      <w:r>
        <w:rPr>
          <w:rFonts w:hint="eastAsia" w:ascii="Times New Roman" w:hAnsi="Times New Roman" w:cs="Times New Roman"/>
          <w:sz w:val="21"/>
          <w:szCs w:val="21"/>
        </w:rPr>
        <w:t>renyingjie@biecc.com.cn</w:t>
      </w:r>
    </w:p>
    <w:p w14:paraId="62E1D019">
      <w:pPr>
        <w:spacing w:line="360" w:lineRule="auto"/>
        <w:ind w:firstLine="420" w:firstLineChars="200"/>
        <w:rPr>
          <w:rFonts w:ascii="Times New Roman" w:hAnsi="Times New Roman" w:cs="Times New Roman"/>
          <w:sz w:val="21"/>
          <w:szCs w:val="21"/>
        </w:rPr>
      </w:pPr>
    </w:p>
    <w:p w14:paraId="39E9EFC5">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7316DFE7">
      <w:pPr>
        <w:spacing w:line="360" w:lineRule="auto"/>
        <w:ind w:firstLine="480" w:firstLineChars="200"/>
        <w:rPr>
          <w:rFonts w:ascii="Times New Roman" w:hAnsi="Times New Roman" w:cs="Times New Roman"/>
          <w:szCs w:val="21"/>
        </w:rPr>
      </w:pPr>
    </w:p>
    <w:p w14:paraId="3BE0B6B0">
      <w:pPr>
        <w:spacing w:line="360" w:lineRule="auto"/>
        <w:ind w:firstLine="480" w:firstLineChars="200"/>
        <w:rPr>
          <w:rFonts w:ascii="Times New Roman" w:hAnsi="Times New Roman" w:cs="Times New Roman"/>
          <w:szCs w:val="21"/>
        </w:rPr>
      </w:pPr>
    </w:p>
    <w:p w14:paraId="352A493A">
      <w:pPr>
        <w:spacing w:line="360" w:lineRule="auto"/>
        <w:ind w:firstLine="480" w:firstLineChars="200"/>
        <w:rPr>
          <w:rFonts w:ascii="Times New Roman" w:hAnsi="Times New Roman" w:cs="Times New Roman"/>
          <w:szCs w:val="21"/>
        </w:rPr>
      </w:pPr>
    </w:p>
    <w:p w14:paraId="16174705">
      <w:pPr>
        <w:spacing w:line="360" w:lineRule="auto"/>
        <w:ind w:firstLine="480" w:firstLineChars="200"/>
        <w:rPr>
          <w:rFonts w:ascii="Times New Roman" w:hAnsi="Times New Roman" w:cs="Times New Roman"/>
          <w:szCs w:val="21"/>
        </w:rPr>
      </w:pPr>
    </w:p>
    <w:p w14:paraId="50899BF9">
      <w:pPr>
        <w:spacing w:line="360" w:lineRule="auto"/>
        <w:ind w:firstLine="480" w:firstLineChars="200"/>
        <w:rPr>
          <w:rFonts w:ascii="Times New Roman" w:hAnsi="Times New Roman" w:cs="Times New Roman"/>
          <w:szCs w:val="21"/>
        </w:rPr>
      </w:pPr>
    </w:p>
    <w:p w14:paraId="49FB78A1">
      <w:pPr>
        <w:spacing w:line="360" w:lineRule="auto"/>
        <w:ind w:firstLine="480" w:firstLineChars="200"/>
        <w:rPr>
          <w:rFonts w:ascii="Times New Roman" w:hAnsi="Times New Roman" w:cs="Times New Roman"/>
          <w:szCs w:val="21"/>
        </w:rPr>
      </w:pPr>
    </w:p>
    <w:p w14:paraId="47842673">
      <w:pPr>
        <w:spacing w:line="360" w:lineRule="auto"/>
        <w:ind w:firstLine="480" w:firstLineChars="200"/>
        <w:rPr>
          <w:rFonts w:ascii="Times New Roman" w:hAnsi="Times New Roman" w:cs="Times New Roman"/>
          <w:szCs w:val="21"/>
        </w:rPr>
      </w:pPr>
    </w:p>
    <w:p w14:paraId="5B5FF294">
      <w:pPr>
        <w:spacing w:line="360" w:lineRule="auto"/>
        <w:ind w:firstLine="480" w:firstLineChars="200"/>
        <w:rPr>
          <w:rFonts w:ascii="Times New Roman" w:hAnsi="Times New Roman" w:cs="Times New Roman"/>
          <w:szCs w:val="21"/>
        </w:rPr>
      </w:pPr>
    </w:p>
    <w:p w14:paraId="150D5DEB">
      <w:pPr>
        <w:spacing w:line="360" w:lineRule="auto"/>
        <w:ind w:firstLine="480" w:firstLineChars="200"/>
        <w:rPr>
          <w:rFonts w:ascii="Times New Roman" w:hAnsi="Times New Roman" w:cs="Times New Roman"/>
          <w:szCs w:val="21"/>
        </w:rPr>
      </w:pPr>
    </w:p>
    <w:p w14:paraId="46431DA6">
      <w:pPr>
        <w:pStyle w:val="63"/>
        <w:numPr>
          <w:ilvl w:val="0"/>
          <w:numId w:val="4"/>
        </w:numPr>
        <w:spacing w:line="360" w:lineRule="auto"/>
        <w:ind w:left="1276" w:hanging="1276" w:firstLineChars="0"/>
        <w:jc w:val="center"/>
        <w:outlineLvl w:val="0"/>
        <w:rPr>
          <w:rFonts w:ascii="Times New Roman" w:hAnsi="Times New Roman" w:eastAsia="黑体" w:cs="Times New Roman"/>
          <w:b/>
          <w:sz w:val="44"/>
          <w:szCs w:val="44"/>
        </w:rPr>
      </w:pPr>
      <w:bookmarkStart w:id="5" w:name="_Toc8161"/>
      <w:r>
        <w:rPr>
          <w:rFonts w:ascii="Times New Roman" w:hAnsi="Times New Roman" w:eastAsia="黑体" w:cs="Times New Roman"/>
          <w:b/>
          <w:sz w:val="44"/>
          <w:szCs w:val="44"/>
        </w:rPr>
        <w:t>投标人须知</w:t>
      </w:r>
      <w:bookmarkEnd w:id="1"/>
      <w:bookmarkEnd w:id="2"/>
      <w:bookmarkEnd w:id="5"/>
    </w:p>
    <w:p w14:paraId="3FD1D413">
      <w:pPr>
        <w:spacing w:line="360" w:lineRule="auto"/>
        <w:ind w:firstLine="480" w:firstLineChars="200"/>
        <w:rPr>
          <w:rFonts w:ascii="Times New Roman" w:hAnsi="Times New Roman" w:cs="Times New Roman"/>
          <w:szCs w:val="21"/>
        </w:rPr>
      </w:pPr>
    </w:p>
    <w:p w14:paraId="30CAC3E0">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5641ACC9">
      <w:pPr>
        <w:pStyle w:val="63"/>
        <w:spacing w:line="360" w:lineRule="auto"/>
        <w:ind w:firstLine="0" w:firstLineChars="0"/>
        <w:jc w:val="center"/>
        <w:outlineLvl w:val="0"/>
        <w:rPr>
          <w:rFonts w:ascii="Times New Roman" w:hAnsi="Times New Roman" w:cs="Times New Roman"/>
          <w:b/>
        </w:rPr>
      </w:pPr>
      <w:bookmarkStart w:id="6" w:name="_Toc15386146"/>
      <w:bookmarkStart w:id="7" w:name="_Toc6932"/>
      <w:bookmarkStart w:id="8" w:name="_Toc11842"/>
      <w:bookmarkStart w:id="9" w:name="_Toc535397472"/>
      <w:bookmarkStart w:id="10" w:name="_Toc134728800"/>
      <w:bookmarkStart w:id="11" w:name="_Toc13225378"/>
      <w:bookmarkStart w:id="12" w:name="_Toc164420698"/>
      <w:bookmarkStart w:id="13" w:name="_Toc407613047"/>
      <w:r>
        <w:rPr>
          <w:rFonts w:ascii="Times New Roman" w:hAnsi="Times New Roman" w:cs="Times New Roman"/>
          <w:b/>
        </w:rPr>
        <w:t>投标人须知前附表</w:t>
      </w:r>
      <w:bookmarkEnd w:id="6"/>
      <w:bookmarkEnd w:id="7"/>
      <w:bookmarkEnd w:id="8"/>
      <w:bookmarkEnd w:id="9"/>
      <w:bookmarkEnd w:id="10"/>
      <w:bookmarkEnd w:id="11"/>
      <w:bookmarkEnd w:id="12"/>
      <w:bookmarkEnd w:id="13"/>
    </w:p>
    <w:p w14:paraId="2C794740">
      <w:pPr>
        <w:spacing w:line="360" w:lineRule="auto"/>
        <w:ind w:firstLine="480" w:firstLineChars="200"/>
        <w:rPr>
          <w:rFonts w:ascii="Times New Roman" w:hAnsi="Times New Roman" w:cs="Times New Roman"/>
          <w:szCs w:val="21"/>
        </w:rPr>
      </w:pPr>
    </w:p>
    <w:tbl>
      <w:tblPr>
        <w:tblStyle w:val="31"/>
        <w:tblW w:w="84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400"/>
      </w:tblGrid>
      <w:tr w14:paraId="6F2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207BF160">
            <w:pPr>
              <w:spacing w:line="360" w:lineRule="auto"/>
              <w:jc w:val="center"/>
              <w:rPr>
                <w:rFonts w:ascii="Times New Roman" w:hAnsi="Times New Roman" w:cs="Times New Roman"/>
                <w:b/>
                <w:color w:val="000000"/>
                <w:sz w:val="21"/>
                <w:szCs w:val="21"/>
              </w:rPr>
            </w:pPr>
            <w:r>
              <w:rPr>
                <w:rFonts w:ascii="Times New Roman" w:hAnsi="Times New Roman" w:cs="Times New Roman"/>
                <w:b/>
                <w:color w:val="000000"/>
                <w:sz w:val="21"/>
                <w:szCs w:val="21"/>
              </w:rPr>
              <w:t>序号</w:t>
            </w:r>
          </w:p>
        </w:tc>
        <w:tc>
          <w:tcPr>
            <w:tcW w:w="7400" w:type="dxa"/>
            <w:vAlign w:val="center"/>
          </w:tcPr>
          <w:p w14:paraId="5CDAD285">
            <w:pPr>
              <w:spacing w:line="360" w:lineRule="auto"/>
              <w:jc w:val="center"/>
              <w:rPr>
                <w:rFonts w:ascii="Times New Roman" w:hAnsi="Times New Roman" w:cs="Times New Roman"/>
                <w:b/>
                <w:color w:val="000000"/>
                <w:sz w:val="21"/>
                <w:szCs w:val="21"/>
              </w:rPr>
            </w:pPr>
            <w:r>
              <w:rPr>
                <w:rFonts w:ascii="Times New Roman" w:hAnsi="Times New Roman" w:cs="Times New Roman"/>
                <w:b/>
                <w:color w:val="000000"/>
                <w:sz w:val="21"/>
                <w:szCs w:val="21"/>
              </w:rPr>
              <w:t>内       容</w:t>
            </w:r>
          </w:p>
        </w:tc>
      </w:tr>
      <w:tr w14:paraId="2E9A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4D148162">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7400" w:type="dxa"/>
            <w:vAlign w:val="center"/>
          </w:tcPr>
          <w:p w14:paraId="7BB9FEA2">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项目名称：</w:t>
            </w:r>
            <w:r>
              <w:rPr>
                <w:rFonts w:hint="eastAsia" w:ascii="Times New Roman" w:hAnsi="Times New Roman" w:cs="Times New Roman"/>
                <w:color w:val="000000"/>
                <w:sz w:val="21"/>
                <w:szCs w:val="21"/>
              </w:rPr>
              <w:t>中关村发展集团股份有限公司网络安全设备采购项目</w:t>
            </w:r>
          </w:p>
          <w:p w14:paraId="0D165C7F">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招标编号：</w:t>
            </w:r>
            <w:r>
              <w:rPr>
                <w:rFonts w:hint="eastAsia" w:ascii="Times New Roman" w:hAnsi="Times New Roman" w:cs="Times New Roman"/>
                <w:color w:val="000000"/>
                <w:sz w:val="21"/>
                <w:szCs w:val="21"/>
              </w:rPr>
              <w:t>BIECC-25CG10365</w:t>
            </w:r>
          </w:p>
        </w:tc>
      </w:tr>
      <w:tr w14:paraId="1819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51208FAD">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7400" w:type="dxa"/>
            <w:vAlign w:val="center"/>
          </w:tcPr>
          <w:p w14:paraId="30525B62">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招 标 人：</w:t>
            </w:r>
            <w:r>
              <w:rPr>
                <w:rFonts w:hint="eastAsia" w:ascii="Times New Roman" w:hAnsi="Times New Roman" w:cs="Times New Roman"/>
                <w:color w:val="000000"/>
                <w:sz w:val="21"/>
                <w:szCs w:val="21"/>
              </w:rPr>
              <w:t>中关村发展集团股份有限公司</w:t>
            </w:r>
          </w:p>
          <w:p w14:paraId="162AAEB3">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地    址：</w:t>
            </w:r>
            <w:r>
              <w:rPr>
                <w:rFonts w:hint="eastAsia" w:ascii="Times New Roman" w:hAnsi="Times New Roman" w:cs="Times New Roman"/>
                <w:color w:val="000000"/>
                <w:sz w:val="21"/>
                <w:szCs w:val="21"/>
              </w:rPr>
              <w:t>北京市海淀区西三环北路甲2号院7号楼</w:t>
            </w:r>
          </w:p>
        </w:tc>
      </w:tr>
      <w:tr w14:paraId="1B61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6D5BB27B">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7400" w:type="dxa"/>
            <w:vAlign w:val="center"/>
          </w:tcPr>
          <w:p w14:paraId="671AF9F4">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招标代理机构：北京国际工程咨询有限公司</w:t>
            </w:r>
          </w:p>
          <w:p w14:paraId="36082956">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地        址：</w:t>
            </w:r>
            <w:r>
              <w:rPr>
                <w:rFonts w:hint="eastAsia" w:ascii="Times New Roman" w:hAnsi="Times New Roman" w:cs="Times New Roman"/>
                <w:color w:val="000000"/>
                <w:sz w:val="21"/>
                <w:szCs w:val="21"/>
              </w:rPr>
              <w:t>北京市西城区广安门外大街甲275号</w:t>
            </w:r>
          </w:p>
        </w:tc>
      </w:tr>
      <w:tr w14:paraId="4753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12E421ED">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7400" w:type="dxa"/>
            <w:vAlign w:val="center"/>
          </w:tcPr>
          <w:p w14:paraId="3714ADCF">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投标截止时间和开标时间：</w:t>
            </w:r>
            <w:r>
              <w:rPr>
                <w:rFonts w:hint="eastAsia" w:ascii="Times New Roman" w:hAnsi="Times New Roman" w:cs="Times New Roman"/>
                <w:sz w:val="21"/>
                <w:szCs w:val="21"/>
              </w:rPr>
              <w:t>20</w:t>
            </w:r>
            <w:r>
              <w:rPr>
                <w:rFonts w:ascii="Times New Roman" w:hAnsi="Times New Roman" w:cs="Times New Roman"/>
                <w:sz w:val="21"/>
                <w:szCs w:val="21"/>
              </w:rPr>
              <w:t>2</w:t>
            </w:r>
            <w:r>
              <w:rPr>
                <w:rFonts w:hint="eastAsia" w:ascii="Times New Roman" w:hAnsi="Times New Roman" w:cs="Times New Roman"/>
                <w:sz w:val="21"/>
                <w:szCs w:val="21"/>
              </w:rPr>
              <w:t>5</w:t>
            </w:r>
            <w:r>
              <w:rPr>
                <w:rFonts w:ascii="Times New Roman" w:hAnsi="Times New Roman" w:cs="Times New Roman"/>
                <w:sz w:val="21"/>
                <w:szCs w:val="21"/>
              </w:rPr>
              <w:t>年</w:t>
            </w:r>
            <w:r>
              <w:rPr>
                <w:rFonts w:hint="eastAsia" w:ascii="Times New Roman" w:hAnsi="Times New Roman" w:cs="Times New Roman"/>
                <w:sz w:val="21"/>
                <w:szCs w:val="21"/>
                <w:lang w:val="en-US" w:eastAsia="zh-CN"/>
              </w:rPr>
              <w:t>8</w:t>
            </w:r>
            <w:r>
              <w:rPr>
                <w:rFonts w:ascii="Times New Roman" w:hAnsi="Times New Roman" w:cs="Times New Roman"/>
                <w:sz w:val="21"/>
                <w:szCs w:val="21"/>
              </w:rPr>
              <w:t>月</w:t>
            </w:r>
            <w:r>
              <w:rPr>
                <w:rFonts w:hint="eastAsia" w:ascii="Times New Roman" w:hAnsi="Times New Roman" w:cs="Times New Roman"/>
                <w:sz w:val="21"/>
                <w:szCs w:val="21"/>
                <w:lang w:val="en-US" w:eastAsia="zh-CN"/>
              </w:rPr>
              <w:t>5</w:t>
            </w:r>
            <w:r>
              <w:rPr>
                <w:rFonts w:ascii="Times New Roman" w:hAnsi="Times New Roman" w:cs="Times New Roman"/>
                <w:sz w:val="21"/>
                <w:szCs w:val="21"/>
              </w:rPr>
              <w:t>日</w:t>
            </w:r>
            <w:r>
              <w:rPr>
                <w:rFonts w:hint="eastAsia" w:ascii="Times New Roman" w:hAnsi="Times New Roman" w:cs="Times New Roman"/>
                <w:sz w:val="21"/>
                <w:szCs w:val="21"/>
              </w:rPr>
              <w:t>上</w:t>
            </w:r>
            <w:r>
              <w:rPr>
                <w:rFonts w:ascii="Times New Roman" w:hAnsi="Times New Roman" w:cs="Times New Roman"/>
                <w:sz w:val="21"/>
                <w:szCs w:val="21"/>
              </w:rPr>
              <w:t>午</w:t>
            </w:r>
            <w:r>
              <w:rPr>
                <w:rFonts w:hint="eastAsia" w:ascii="Times New Roman" w:hAnsi="Times New Roman" w:cs="Times New Roman"/>
                <w:sz w:val="21"/>
                <w:szCs w:val="21"/>
              </w:rPr>
              <w:t>9</w:t>
            </w:r>
            <w:r>
              <w:rPr>
                <w:rFonts w:ascii="Times New Roman" w:hAnsi="Times New Roman" w:cs="Times New Roman"/>
                <w:sz w:val="21"/>
                <w:szCs w:val="21"/>
              </w:rPr>
              <w:t>时</w:t>
            </w:r>
            <w:r>
              <w:rPr>
                <w:rFonts w:hint="eastAsia" w:ascii="Times New Roman" w:hAnsi="Times New Roman" w:cs="Times New Roman"/>
                <w:sz w:val="21"/>
                <w:szCs w:val="21"/>
              </w:rPr>
              <w:t>30</w:t>
            </w:r>
            <w:r>
              <w:rPr>
                <w:rFonts w:ascii="Times New Roman" w:hAnsi="Times New Roman" w:cs="Times New Roman"/>
                <w:sz w:val="21"/>
                <w:szCs w:val="21"/>
              </w:rPr>
              <w:t>分（北京时间）</w:t>
            </w:r>
          </w:p>
        </w:tc>
      </w:tr>
      <w:tr w14:paraId="770D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12236EC6">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7400" w:type="dxa"/>
            <w:vAlign w:val="center"/>
          </w:tcPr>
          <w:p w14:paraId="34258E41">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开标地点：</w:t>
            </w:r>
            <w:r>
              <w:rPr>
                <w:rFonts w:hint="eastAsia" w:ascii="Times New Roman" w:hAnsi="Times New Roman" w:cs="Times New Roman"/>
                <w:sz w:val="21"/>
                <w:szCs w:val="21"/>
              </w:rPr>
              <w:t>北京市西城区广安门外大街甲275号6层</w:t>
            </w:r>
            <w:r>
              <w:rPr>
                <w:rFonts w:hint="eastAsia" w:ascii="Times New Roman" w:hAnsi="Times New Roman" w:cs="Times New Roman"/>
                <w:sz w:val="21"/>
                <w:szCs w:val="21"/>
                <w:lang w:val="en-US" w:eastAsia="zh-CN"/>
              </w:rPr>
              <w:t>602</w:t>
            </w:r>
            <w:r>
              <w:rPr>
                <w:rFonts w:hint="eastAsia" w:ascii="Times New Roman" w:hAnsi="Times New Roman" w:cs="Times New Roman"/>
                <w:sz w:val="21"/>
                <w:szCs w:val="21"/>
              </w:rPr>
              <w:t>室</w:t>
            </w:r>
          </w:p>
        </w:tc>
      </w:tr>
      <w:tr w14:paraId="21D3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29CDBD19">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7400" w:type="dxa"/>
            <w:vAlign w:val="center"/>
          </w:tcPr>
          <w:p w14:paraId="3AF36796">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投标文件递交至：开标当日（投标截止时间之前）递交到开标地点</w:t>
            </w:r>
          </w:p>
        </w:tc>
      </w:tr>
      <w:tr w14:paraId="4457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05FC7F58">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7400" w:type="dxa"/>
            <w:vAlign w:val="center"/>
          </w:tcPr>
          <w:p w14:paraId="360DA079">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投标保证金：</w:t>
            </w:r>
            <w:r>
              <w:rPr>
                <w:rFonts w:hint="eastAsia" w:ascii="Times New Roman" w:hAnsi="Times New Roman" w:cs="Times New Roman"/>
                <w:color w:val="000000"/>
                <w:sz w:val="21"/>
                <w:szCs w:val="21"/>
              </w:rPr>
              <w:t>人民币40000元</w:t>
            </w:r>
          </w:p>
        </w:tc>
      </w:tr>
      <w:tr w14:paraId="43EC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0360BE36">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7400" w:type="dxa"/>
            <w:vAlign w:val="center"/>
          </w:tcPr>
          <w:p w14:paraId="2EFE0323">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投标有效期：90天（日历日）</w:t>
            </w:r>
          </w:p>
        </w:tc>
      </w:tr>
      <w:tr w14:paraId="053E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418297BF">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7400" w:type="dxa"/>
            <w:vAlign w:val="center"/>
          </w:tcPr>
          <w:p w14:paraId="16003805">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投标文件纸质正本一份，纸质副本</w:t>
            </w:r>
            <w:r>
              <w:rPr>
                <w:rFonts w:hint="eastAsia" w:ascii="Times New Roman" w:hAnsi="Times New Roman" w:cs="Times New Roman"/>
                <w:color w:val="000000"/>
                <w:sz w:val="21"/>
                <w:szCs w:val="21"/>
              </w:rPr>
              <w:t>四</w:t>
            </w:r>
            <w:r>
              <w:rPr>
                <w:rFonts w:ascii="Times New Roman" w:hAnsi="Times New Roman" w:cs="Times New Roman"/>
                <w:color w:val="000000"/>
                <w:sz w:val="21"/>
                <w:szCs w:val="21"/>
              </w:rPr>
              <w:t>份，电子文档word版及pdf版本（光盘或U盘）一套</w:t>
            </w:r>
          </w:p>
        </w:tc>
      </w:tr>
      <w:tr w14:paraId="7D9E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5E2783F6">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7400" w:type="dxa"/>
            <w:vAlign w:val="center"/>
          </w:tcPr>
          <w:p w14:paraId="408E0FA8">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招标代理服务费：本项目的中标人应在中标通知书发出后一次性向招标代理机构支付招标代理服务费。具体要求详见投标人须知第</w:t>
            </w:r>
            <w:r>
              <w:rPr>
                <w:rFonts w:hint="eastAsia" w:ascii="Times New Roman" w:hAnsi="Times New Roman" w:cs="Times New Roman"/>
                <w:color w:val="000000"/>
                <w:sz w:val="21"/>
                <w:szCs w:val="21"/>
              </w:rPr>
              <w:t>3</w:t>
            </w:r>
            <w:r>
              <w:rPr>
                <w:rFonts w:ascii="Times New Roman" w:hAnsi="Times New Roman" w:cs="Times New Roman"/>
                <w:color w:val="000000"/>
                <w:sz w:val="21"/>
                <w:szCs w:val="21"/>
              </w:rPr>
              <w:t>8条</w:t>
            </w:r>
            <w:r>
              <w:rPr>
                <w:rFonts w:hint="eastAsia" w:ascii="Times New Roman" w:hAnsi="Times New Roman" w:cs="Times New Roman"/>
                <w:color w:val="000000"/>
                <w:sz w:val="21"/>
                <w:szCs w:val="21"/>
              </w:rPr>
              <w:t>。</w:t>
            </w:r>
          </w:p>
        </w:tc>
      </w:tr>
      <w:tr w14:paraId="57DA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31C59176">
            <w:pPr>
              <w:spacing w:line="360" w:lineRule="auto"/>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11</w:t>
            </w:r>
          </w:p>
        </w:tc>
        <w:tc>
          <w:tcPr>
            <w:tcW w:w="7400" w:type="dxa"/>
            <w:vAlign w:val="center"/>
          </w:tcPr>
          <w:p w14:paraId="31D7CB19">
            <w:pPr>
              <w:spacing w:line="36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合同履行期限：自合同生效之日起，在6个月内完成项目建设的实施和验收工作。</w:t>
            </w:r>
          </w:p>
        </w:tc>
      </w:tr>
    </w:tbl>
    <w:p w14:paraId="1BAA156F">
      <w:pPr>
        <w:spacing w:line="360" w:lineRule="auto"/>
        <w:ind w:firstLine="480" w:firstLineChars="200"/>
        <w:rPr>
          <w:rFonts w:ascii="Times New Roman" w:hAnsi="Times New Roman" w:cs="Times New Roman"/>
          <w:szCs w:val="21"/>
        </w:rPr>
      </w:pPr>
    </w:p>
    <w:p w14:paraId="05773621">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126EA755">
      <w:pPr>
        <w:pStyle w:val="63"/>
        <w:spacing w:line="360" w:lineRule="auto"/>
        <w:ind w:firstLine="0" w:firstLineChars="0"/>
        <w:jc w:val="center"/>
        <w:outlineLvl w:val="0"/>
        <w:rPr>
          <w:rFonts w:ascii="Times New Roman" w:hAnsi="Times New Roman" w:cs="Times New Roman"/>
          <w:b/>
        </w:rPr>
      </w:pPr>
      <w:bookmarkStart w:id="14" w:name="_Toc13225379"/>
      <w:bookmarkStart w:id="15" w:name="_Toc2966"/>
      <w:bookmarkStart w:id="16" w:name="_Toc26164"/>
      <w:bookmarkStart w:id="17" w:name="_Toc535397473"/>
      <w:bookmarkStart w:id="18" w:name="_Toc15386147"/>
      <w:bookmarkStart w:id="19" w:name="_Toc164420699"/>
      <w:bookmarkStart w:id="20" w:name="_Toc134728801"/>
      <w:bookmarkStart w:id="21" w:name="_Toc407613048"/>
      <w:r>
        <w:rPr>
          <w:rFonts w:ascii="Times New Roman" w:hAnsi="Times New Roman" w:cs="Times New Roman"/>
          <w:b/>
        </w:rPr>
        <w:t>投标人须知</w:t>
      </w:r>
      <w:bookmarkEnd w:id="14"/>
      <w:bookmarkEnd w:id="15"/>
      <w:bookmarkEnd w:id="16"/>
      <w:bookmarkEnd w:id="17"/>
      <w:bookmarkEnd w:id="18"/>
      <w:bookmarkEnd w:id="19"/>
      <w:bookmarkEnd w:id="20"/>
      <w:bookmarkEnd w:id="21"/>
    </w:p>
    <w:p w14:paraId="5749FD1E">
      <w:pPr>
        <w:spacing w:line="360" w:lineRule="auto"/>
        <w:ind w:firstLine="420" w:firstLineChars="200"/>
        <w:rPr>
          <w:rFonts w:ascii="Times New Roman" w:hAnsi="Times New Roman" w:cs="Times New Roman"/>
          <w:sz w:val="21"/>
          <w:szCs w:val="21"/>
        </w:rPr>
      </w:pPr>
    </w:p>
    <w:p w14:paraId="2B7673DA">
      <w:pPr>
        <w:pStyle w:val="63"/>
        <w:numPr>
          <w:ilvl w:val="0"/>
          <w:numId w:val="7"/>
        </w:numPr>
        <w:spacing w:line="360" w:lineRule="auto"/>
        <w:ind w:left="0" w:firstLine="0" w:firstLineChars="0"/>
        <w:jc w:val="center"/>
        <w:outlineLvl w:val="0"/>
        <w:rPr>
          <w:rFonts w:ascii="Times New Roman" w:hAnsi="Times New Roman" w:cs="Times New Roman"/>
          <w:b/>
        </w:rPr>
      </w:pPr>
      <w:bookmarkStart w:id="22" w:name="_Toc1586"/>
      <w:bookmarkStart w:id="23" w:name="_Toc32394"/>
      <w:r>
        <w:rPr>
          <w:rFonts w:ascii="Times New Roman" w:hAnsi="Times New Roman" w:cs="Times New Roman"/>
          <w:b/>
        </w:rPr>
        <w:t>说明</w:t>
      </w:r>
      <w:bookmarkEnd w:id="22"/>
      <w:bookmarkEnd w:id="23"/>
    </w:p>
    <w:p w14:paraId="575A1CD1">
      <w:pPr>
        <w:pStyle w:val="63"/>
        <w:numPr>
          <w:ilvl w:val="0"/>
          <w:numId w:val="8"/>
        </w:numPr>
        <w:spacing w:line="360" w:lineRule="auto"/>
        <w:ind w:firstLineChars="0"/>
        <w:outlineLvl w:val="0"/>
        <w:rPr>
          <w:rFonts w:ascii="Times New Roman" w:hAnsi="Times New Roman" w:cs="Times New Roman"/>
          <w:b/>
          <w:sz w:val="21"/>
          <w:szCs w:val="21"/>
        </w:rPr>
      </w:pPr>
      <w:bookmarkStart w:id="24" w:name="_Toc15386149"/>
      <w:bookmarkStart w:id="25" w:name="_Toc13225381"/>
      <w:bookmarkStart w:id="26" w:name="_Toc2802"/>
      <w:bookmarkStart w:id="27" w:name="_Toc535397475"/>
      <w:bookmarkStart w:id="28" w:name="_Toc164420701"/>
      <w:bookmarkStart w:id="29" w:name="_Toc134728803"/>
      <w:bookmarkStart w:id="30" w:name="_Toc407613050"/>
      <w:bookmarkStart w:id="31" w:name="_Toc406595666"/>
      <w:bookmarkStart w:id="32" w:name="_Toc6821"/>
      <w:bookmarkStart w:id="33" w:name="_Toc407612681"/>
      <w:r>
        <w:rPr>
          <w:rFonts w:ascii="Times New Roman" w:hAnsi="Times New Roman" w:cs="Times New Roman"/>
          <w:b/>
          <w:bCs/>
          <w:sz w:val="21"/>
          <w:szCs w:val="21"/>
        </w:rPr>
        <w:t>适用范围</w:t>
      </w:r>
      <w:bookmarkEnd w:id="24"/>
      <w:bookmarkEnd w:id="25"/>
      <w:bookmarkEnd w:id="26"/>
      <w:bookmarkEnd w:id="27"/>
      <w:bookmarkEnd w:id="28"/>
      <w:bookmarkEnd w:id="29"/>
      <w:bookmarkEnd w:id="30"/>
      <w:bookmarkEnd w:id="31"/>
      <w:bookmarkEnd w:id="32"/>
      <w:bookmarkEnd w:id="33"/>
    </w:p>
    <w:p w14:paraId="54692C22">
      <w:pPr>
        <w:pStyle w:val="63"/>
        <w:numPr>
          <w:ilvl w:val="1"/>
          <w:numId w:val="8"/>
        </w:numPr>
        <w:spacing w:line="360" w:lineRule="auto"/>
        <w:ind w:firstLineChars="0"/>
        <w:outlineLvl w:val="0"/>
        <w:rPr>
          <w:rFonts w:ascii="Times New Roman" w:hAnsi="Times New Roman" w:cs="Times New Roman"/>
          <w:sz w:val="21"/>
          <w:szCs w:val="21"/>
        </w:rPr>
      </w:pPr>
      <w:bookmarkStart w:id="34" w:name="_Toc407613051"/>
      <w:bookmarkStart w:id="35" w:name="_Toc406595667"/>
      <w:bookmarkStart w:id="36" w:name="_Toc13225382"/>
      <w:bookmarkStart w:id="37" w:name="_Toc25516"/>
      <w:bookmarkStart w:id="38" w:name="_Toc164420702"/>
      <w:bookmarkStart w:id="39" w:name="_Toc405464694"/>
      <w:bookmarkStart w:id="40" w:name="_Toc15386150"/>
      <w:bookmarkStart w:id="41" w:name="_Toc22115"/>
      <w:bookmarkStart w:id="42" w:name="_Toc407612682"/>
      <w:bookmarkStart w:id="43" w:name="_Toc535397476"/>
      <w:bookmarkStart w:id="44" w:name="_Toc134728804"/>
      <w:r>
        <w:rPr>
          <w:rFonts w:ascii="Times New Roman" w:hAnsi="Times New Roman" w:cs="Times New Roman"/>
          <w:sz w:val="21"/>
          <w:szCs w:val="21"/>
        </w:rPr>
        <w:t>本招标文件仅适用于本投标邀请中所叙述的项目。</w:t>
      </w:r>
      <w:bookmarkEnd w:id="34"/>
      <w:bookmarkEnd w:id="35"/>
      <w:bookmarkEnd w:id="36"/>
      <w:bookmarkEnd w:id="37"/>
      <w:bookmarkEnd w:id="38"/>
      <w:bookmarkEnd w:id="39"/>
      <w:bookmarkEnd w:id="40"/>
      <w:bookmarkEnd w:id="41"/>
      <w:bookmarkEnd w:id="42"/>
      <w:bookmarkEnd w:id="43"/>
      <w:bookmarkEnd w:id="44"/>
    </w:p>
    <w:p w14:paraId="3C2729B3">
      <w:pPr>
        <w:pStyle w:val="63"/>
        <w:numPr>
          <w:ilvl w:val="0"/>
          <w:numId w:val="8"/>
        </w:numPr>
        <w:spacing w:line="360" w:lineRule="auto"/>
        <w:ind w:firstLineChars="0"/>
        <w:outlineLvl w:val="0"/>
        <w:rPr>
          <w:rFonts w:ascii="Times New Roman" w:hAnsi="Times New Roman" w:cs="Times New Roman"/>
          <w:b/>
          <w:bCs/>
          <w:sz w:val="21"/>
          <w:szCs w:val="21"/>
        </w:rPr>
      </w:pPr>
      <w:bookmarkStart w:id="45" w:name="_Toc9495"/>
      <w:bookmarkStart w:id="46" w:name="_Toc407612683"/>
      <w:bookmarkStart w:id="47" w:name="_Toc15386151"/>
      <w:bookmarkStart w:id="48" w:name="_Toc407613052"/>
      <w:bookmarkStart w:id="49" w:name="_Toc164420703"/>
      <w:bookmarkStart w:id="50" w:name="_Toc535397477"/>
      <w:bookmarkStart w:id="51" w:name="_Toc13225383"/>
      <w:bookmarkStart w:id="52" w:name="_Toc134728805"/>
      <w:bookmarkStart w:id="53" w:name="_Toc406595668"/>
      <w:bookmarkStart w:id="54" w:name="_Toc26137"/>
      <w:r>
        <w:rPr>
          <w:rFonts w:ascii="Times New Roman" w:hAnsi="Times New Roman" w:cs="Times New Roman"/>
          <w:b/>
          <w:bCs/>
          <w:sz w:val="21"/>
          <w:szCs w:val="21"/>
        </w:rPr>
        <w:t>定义</w:t>
      </w:r>
      <w:bookmarkEnd w:id="45"/>
      <w:bookmarkEnd w:id="46"/>
      <w:bookmarkEnd w:id="47"/>
      <w:bookmarkEnd w:id="48"/>
      <w:bookmarkEnd w:id="49"/>
      <w:bookmarkEnd w:id="50"/>
      <w:bookmarkEnd w:id="51"/>
      <w:bookmarkEnd w:id="52"/>
      <w:bookmarkEnd w:id="53"/>
      <w:bookmarkEnd w:id="54"/>
    </w:p>
    <w:p w14:paraId="0B90F5A4">
      <w:pPr>
        <w:pStyle w:val="63"/>
        <w:numPr>
          <w:ilvl w:val="1"/>
          <w:numId w:val="8"/>
        </w:numPr>
        <w:spacing w:line="360" w:lineRule="auto"/>
        <w:ind w:firstLineChars="0"/>
        <w:outlineLvl w:val="0"/>
        <w:rPr>
          <w:rFonts w:ascii="Times New Roman" w:hAnsi="Times New Roman" w:cs="Times New Roman"/>
          <w:sz w:val="21"/>
          <w:szCs w:val="21"/>
        </w:rPr>
      </w:pPr>
      <w:bookmarkStart w:id="55" w:name="_Toc13225384"/>
      <w:bookmarkStart w:id="56" w:name="_Toc134728806"/>
      <w:bookmarkStart w:id="57" w:name="_Toc406595669"/>
      <w:bookmarkStart w:id="58" w:name="_Toc407612684"/>
      <w:bookmarkStart w:id="59" w:name="_Toc535397478"/>
      <w:bookmarkStart w:id="60" w:name="_Toc407613053"/>
      <w:bookmarkStart w:id="61" w:name="_Toc28094"/>
      <w:bookmarkStart w:id="62" w:name="_Toc9113"/>
      <w:bookmarkStart w:id="63" w:name="_Toc164420704"/>
      <w:bookmarkStart w:id="64" w:name="_Toc15386152"/>
      <w:r>
        <w:rPr>
          <w:rFonts w:ascii="Times New Roman" w:hAnsi="Times New Roman" w:cs="Times New Roman"/>
          <w:sz w:val="21"/>
          <w:szCs w:val="21"/>
        </w:rPr>
        <w:t>“招标人”系指</w:t>
      </w:r>
      <w:r>
        <w:rPr>
          <w:rFonts w:hint="eastAsia" w:ascii="Times New Roman" w:hAnsi="Times New Roman" w:cs="Times New Roman"/>
          <w:sz w:val="21"/>
          <w:szCs w:val="21"/>
        </w:rPr>
        <w:t>中关村发展集团股份有限公司</w:t>
      </w:r>
      <w:r>
        <w:rPr>
          <w:rFonts w:ascii="Times New Roman" w:hAnsi="Times New Roman" w:cs="Times New Roman"/>
          <w:sz w:val="21"/>
          <w:szCs w:val="21"/>
        </w:rPr>
        <w:t>，也称业主。</w:t>
      </w:r>
      <w:bookmarkEnd w:id="55"/>
      <w:bookmarkEnd w:id="56"/>
      <w:bookmarkEnd w:id="57"/>
      <w:bookmarkEnd w:id="58"/>
      <w:bookmarkEnd w:id="59"/>
      <w:bookmarkEnd w:id="60"/>
      <w:bookmarkEnd w:id="61"/>
      <w:bookmarkEnd w:id="62"/>
      <w:bookmarkEnd w:id="63"/>
      <w:bookmarkEnd w:id="64"/>
    </w:p>
    <w:p w14:paraId="5D6A3047">
      <w:pPr>
        <w:pStyle w:val="63"/>
        <w:numPr>
          <w:ilvl w:val="1"/>
          <w:numId w:val="8"/>
        </w:numPr>
        <w:spacing w:line="360" w:lineRule="auto"/>
        <w:ind w:firstLineChars="0"/>
        <w:outlineLvl w:val="0"/>
        <w:rPr>
          <w:rFonts w:ascii="Times New Roman" w:hAnsi="Times New Roman" w:cs="Times New Roman"/>
          <w:sz w:val="21"/>
          <w:szCs w:val="21"/>
        </w:rPr>
      </w:pPr>
      <w:bookmarkStart w:id="65" w:name="_Toc407613054"/>
      <w:bookmarkStart w:id="66" w:name="_Toc535397479"/>
      <w:bookmarkStart w:id="67" w:name="_Toc17628"/>
      <w:bookmarkStart w:id="68" w:name="_Toc407612685"/>
      <w:bookmarkStart w:id="69" w:name="_Toc24066"/>
      <w:bookmarkStart w:id="70" w:name="_Toc13225385"/>
      <w:bookmarkStart w:id="71" w:name="_Toc406595670"/>
      <w:bookmarkStart w:id="72" w:name="_Toc134728807"/>
      <w:bookmarkStart w:id="73" w:name="_Toc164420705"/>
      <w:bookmarkStart w:id="74" w:name="_Toc15386153"/>
      <w:r>
        <w:rPr>
          <w:rFonts w:ascii="Times New Roman" w:hAnsi="Times New Roman" w:cs="Times New Roman"/>
          <w:sz w:val="21"/>
          <w:szCs w:val="21"/>
        </w:rPr>
        <w:t>“招标代理机构”系指受招标人委托进行招标组织工作的北京国际工程咨询有限公司。</w:t>
      </w:r>
      <w:bookmarkEnd w:id="65"/>
      <w:bookmarkEnd w:id="66"/>
      <w:bookmarkEnd w:id="67"/>
      <w:bookmarkEnd w:id="68"/>
      <w:bookmarkEnd w:id="69"/>
      <w:bookmarkEnd w:id="70"/>
      <w:bookmarkEnd w:id="71"/>
      <w:bookmarkEnd w:id="72"/>
      <w:bookmarkEnd w:id="73"/>
      <w:bookmarkEnd w:id="74"/>
    </w:p>
    <w:p w14:paraId="2CB8B9ED">
      <w:pPr>
        <w:pStyle w:val="63"/>
        <w:numPr>
          <w:ilvl w:val="1"/>
          <w:numId w:val="8"/>
        </w:numPr>
        <w:spacing w:line="360" w:lineRule="auto"/>
        <w:ind w:firstLineChars="0"/>
        <w:outlineLvl w:val="0"/>
        <w:rPr>
          <w:rFonts w:ascii="Times New Roman" w:hAnsi="Times New Roman" w:cs="Times New Roman"/>
          <w:sz w:val="21"/>
          <w:szCs w:val="21"/>
        </w:rPr>
      </w:pPr>
      <w:bookmarkStart w:id="75" w:name="_Toc13225386"/>
      <w:bookmarkStart w:id="76" w:name="_Toc13498"/>
      <w:bookmarkStart w:id="77" w:name="_Toc134728808"/>
      <w:bookmarkStart w:id="78" w:name="_Toc406595671"/>
      <w:bookmarkStart w:id="79" w:name="_Toc535397480"/>
      <w:bookmarkStart w:id="80" w:name="_Toc15386154"/>
      <w:bookmarkStart w:id="81" w:name="_Toc407612686"/>
      <w:bookmarkStart w:id="82" w:name="_Toc164420706"/>
      <w:bookmarkStart w:id="83" w:name="_Toc7098"/>
      <w:bookmarkStart w:id="84" w:name="_Toc407613055"/>
      <w:r>
        <w:rPr>
          <w:rFonts w:ascii="Times New Roman" w:hAnsi="Times New Roman" w:cs="Times New Roman"/>
          <w:sz w:val="21"/>
          <w:szCs w:val="21"/>
        </w:rPr>
        <w:t>“投标人”系指响应招标人要求，向招标人提交投标文件的单位。</w:t>
      </w:r>
      <w:bookmarkEnd w:id="75"/>
      <w:bookmarkEnd w:id="76"/>
      <w:bookmarkEnd w:id="77"/>
      <w:bookmarkEnd w:id="78"/>
      <w:bookmarkEnd w:id="79"/>
      <w:bookmarkEnd w:id="80"/>
      <w:bookmarkEnd w:id="81"/>
      <w:bookmarkEnd w:id="82"/>
      <w:bookmarkEnd w:id="83"/>
      <w:bookmarkEnd w:id="84"/>
    </w:p>
    <w:p w14:paraId="1A5C0C13">
      <w:pPr>
        <w:pStyle w:val="63"/>
        <w:numPr>
          <w:ilvl w:val="1"/>
          <w:numId w:val="8"/>
        </w:numPr>
        <w:spacing w:line="360" w:lineRule="auto"/>
        <w:ind w:firstLineChars="0"/>
        <w:outlineLvl w:val="0"/>
        <w:rPr>
          <w:rFonts w:ascii="Times New Roman" w:hAnsi="Times New Roman" w:cs="Times New Roman"/>
          <w:sz w:val="21"/>
          <w:szCs w:val="21"/>
        </w:rPr>
      </w:pPr>
      <w:bookmarkStart w:id="85" w:name="_Toc407613056"/>
      <w:bookmarkStart w:id="86" w:name="_Toc134728809"/>
      <w:bookmarkStart w:id="87" w:name="_Toc12151"/>
      <w:bookmarkStart w:id="88" w:name="_Toc406595672"/>
      <w:bookmarkStart w:id="89" w:name="_Toc407612687"/>
      <w:bookmarkStart w:id="90" w:name="_Toc535397481"/>
      <w:bookmarkStart w:id="91" w:name="_Toc164420707"/>
      <w:bookmarkStart w:id="92" w:name="_Toc1889"/>
      <w:bookmarkStart w:id="93" w:name="_Toc13225387"/>
      <w:bookmarkStart w:id="94" w:name="_Toc15386155"/>
      <w:r>
        <w:rPr>
          <w:rFonts w:ascii="Times New Roman" w:hAnsi="Times New Roman" w:cs="Times New Roman"/>
          <w:sz w:val="21"/>
          <w:szCs w:val="21"/>
        </w:rPr>
        <w:t>“货物”系指投标人按招标文件要求须向招标人提供的一切设备、机械、仪器、仪表、备品备件、工具、手册、软件及其它技术资料和其它材料。</w:t>
      </w:r>
      <w:bookmarkEnd w:id="85"/>
      <w:bookmarkEnd w:id="86"/>
      <w:bookmarkEnd w:id="87"/>
      <w:bookmarkEnd w:id="88"/>
      <w:bookmarkEnd w:id="89"/>
      <w:bookmarkEnd w:id="90"/>
      <w:bookmarkEnd w:id="91"/>
      <w:bookmarkEnd w:id="92"/>
      <w:bookmarkEnd w:id="93"/>
      <w:bookmarkEnd w:id="94"/>
    </w:p>
    <w:p w14:paraId="6BA79C21">
      <w:pPr>
        <w:pStyle w:val="63"/>
        <w:numPr>
          <w:ilvl w:val="1"/>
          <w:numId w:val="8"/>
        </w:numPr>
        <w:spacing w:line="360" w:lineRule="auto"/>
        <w:ind w:firstLineChars="0"/>
        <w:outlineLvl w:val="0"/>
        <w:rPr>
          <w:rFonts w:ascii="Times New Roman" w:hAnsi="Times New Roman" w:cs="Times New Roman"/>
          <w:sz w:val="21"/>
          <w:szCs w:val="21"/>
        </w:rPr>
      </w:pPr>
      <w:bookmarkStart w:id="95" w:name="_Toc25662"/>
      <w:bookmarkStart w:id="96" w:name="_Toc535397482"/>
      <w:bookmarkStart w:id="97" w:name="_Toc406595673"/>
      <w:bookmarkStart w:id="98" w:name="_Toc13225388"/>
      <w:bookmarkStart w:id="99" w:name="_Toc407613057"/>
      <w:bookmarkStart w:id="100" w:name="_Toc4381"/>
      <w:bookmarkStart w:id="101" w:name="_Toc134728810"/>
      <w:bookmarkStart w:id="102" w:name="_Toc15386156"/>
      <w:bookmarkStart w:id="103" w:name="_Toc407612688"/>
      <w:bookmarkStart w:id="104" w:name="_Toc164420708"/>
      <w:r>
        <w:rPr>
          <w:rFonts w:ascii="Times New Roman" w:hAnsi="Times New Roman" w:cs="Times New Roman"/>
          <w:sz w:val="21"/>
          <w:szCs w:val="21"/>
        </w:rPr>
        <w:t>“服务”系指招标文件规定投标人须承担的设备安装、调试、技术协助、校准、培训以及其它类似的义务。</w:t>
      </w:r>
      <w:bookmarkEnd w:id="95"/>
      <w:bookmarkEnd w:id="96"/>
      <w:bookmarkEnd w:id="97"/>
      <w:bookmarkEnd w:id="98"/>
      <w:bookmarkEnd w:id="99"/>
      <w:bookmarkEnd w:id="100"/>
      <w:bookmarkEnd w:id="101"/>
      <w:bookmarkEnd w:id="102"/>
      <w:bookmarkEnd w:id="103"/>
      <w:bookmarkEnd w:id="104"/>
    </w:p>
    <w:p w14:paraId="3009F824">
      <w:pPr>
        <w:pStyle w:val="63"/>
        <w:numPr>
          <w:ilvl w:val="0"/>
          <w:numId w:val="8"/>
        </w:numPr>
        <w:spacing w:line="360" w:lineRule="auto"/>
        <w:ind w:firstLineChars="0"/>
        <w:outlineLvl w:val="0"/>
        <w:rPr>
          <w:rFonts w:ascii="Times New Roman" w:hAnsi="Times New Roman" w:cs="Times New Roman"/>
          <w:b/>
          <w:bCs/>
          <w:sz w:val="21"/>
          <w:szCs w:val="21"/>
        </w:rPr>
      </w:pPr>
      <w:bookmarkStart w:id="105" w:name="_Toc164420709"/>
      <w:bookmarkStart w:id="106" w:name="_Toc407613058"/>
      <w:bookmarkStart w:id="107" w:name="_Toc406595674"/>
      <w:bookmarkStart w:id="108" w:name="_Toc15386157"/>
      <w:bookmarkStart w:id="109" w:name="_Toc12767"/>
      <w:bookmarkStart w:id="110" w:name="_Toc535397483"/>
      <w:bookmarkStart w:id="111" w:name="_Toc407612689"/>
      <w:bookmarkStart w:id="112" w:name="_Toc30081"/>
      <w:bookmarkStart w:id="113" w:name="_Toc13225389"/>
      <w:bookmarkStart w:id="114" w:name="_Toc134728811"/>
      <w:r>
        <w:rPr>
          <w:rFonts w:ascii="Times New Roman" w:hAnsi="Times New Roman" w:cs="Times New Roman"/>
          <w:b/>
          <w:bCs/>
          <w:sz w:val="21"/>
          <w:szCs w:val="21"/>
        </w:rPr>
        <w:t>合格的投标人</w:t>
      </w:r>
      <w:bookmarkEnd w:id="105"/>
      <w:bookmarkEnd w:id="106"/>
      <w:bookmarkEnd w:id="107"/>
      <w:bookmarkEnd w:id="108"/>
      <w:bookmarkEnd w:id="109"/>
      <w:bookmarkEnd w:id="110"/>
      <w:bookmarkEnd w:id="111"/>
      <w:bookmarkEnd w:id="112"/>
      <w:bookmarkEnd w:id="113"/>
      <w:bookmarkEnd w:id="114"/>
    </w:p>
    <w:p w14:paraId="41E50264">
      <w:pPr>
        <w:pStyle w:val="63"/>
        <w:numPr>
          <w:ilvl w:val="1"/>
          <w:numId w:val="8"/>
        </w:numPr>
        <w:spacing w:line="360" w:lineRule="auto"/>
        <w:ind w:firstLineChars="0"/>
        <w:outlineLvl w:val="0"/>
        <w:rPr>
          <w:rFonts w:ascii="Times New Roman" w:hAnsi="Times New Roman" w:cs="Times New Roman"/>
          <w:sz w:val="21"/>
          <w:szCs w:val="21"/>
        </w:rPr>
      </w:pPr>
      <w:bookmarkStart w:id="115" w:name="_Toc407613059"/>
      <w:bookmarkStart w:id="116" w:name="_Toc28535"/>
      <w:bookmarkStart w:id="117" w:name="_Toc138066362"/>
      <w:bookmarkStart w:id="118" w:name="_Toc4430"/>
      <w:bookmarkStart w:id="119" w:name="_Toc407612690"/>
      <w:bookmarkStart w:id="120" w:name="_Toc535397484"/>
      <w:bookmarkStart w:id="121" w:name="_Toc138166348"/>
      <w:bookmarkStart w:id="122" w:name="_Toc164420710"/>
      <w:bookmarkStart w:id="123" w:name="_Toc406595675"/>
      <w:bookmarkStart w:id="124" w:name="_Toc138244417"/>
      <w:r>
        <w:rPr>
          <w:rFonts w:ascii="Times New Roman" w:hAnsi="Times New Roman" w:cs="Times New Roman"/>
          <w:sz w:val="21"/>
          <w:szCs w:val="21"/>
        </w:rPr>
        <w:t>投标人必须在中华人民共和国境内注册，具有独立法人资格。</w:t>
      </w:r>
      <w:bookmarkEnd w:id="115"/>
      <w:bookmarkEnd w:id="116"/>
      <w:bookmarkEnd w:id="117"/>
      <w:bookmarkEnd w:id="118"/>
      <w:bookmarkEnd w:id="119"/>
      <w:bookmarkEnd w:id="120"/>
      <w:bookmarkEnd w:id="121"/>
      <w:bookmarkEnd w:id="122"/>
      <w:bookmarkEnd w:id="123"/>
      <w:bookmarkEnd w:id="124"/>
    </w:p>
    <w:p w14:paraId="111EECD0">
      <w:pPr>
        <w:pStyle w:val="63"/>
        <w:numPr>
          <w:ilvl w:val="1"/>
          <w:numId w:val="8"/>
        </w:numPr>
        <w:spacing w:line="360" w:lineRule="auto"/>
        <w:ind w:firstLineChars="0"/>
        <w:outlineLvl w:val="0"/>
        <w:rPr>
          <w:rFonts w:ascii="Times New Roman" w:hAnsi="Times New Roman" w:cs="Times New Roman"/>
          <w:sz w:val="21"/>
          <w:szCs w:val="21"/>
        </w:rPr>
      </w:pPr>
      <w:bookmarkStart w:id="125" w:name="_Toc164420711"/>
      <w:bookmarkStart w:id="126" w:name="_Toc138244418"/>
      <w:bookmarkStart w:id="127" w:name="_Toc18530"/>
      <w:bookmarkStart w:id="128" w:name="_Toc138066365"/>
      <w:bookmarkStart w:id="129" w:name="_Toc138166349"/>
      <w:bookmarkStart w:id="130" w:name="_Toc13696"/>
      <w:r>
        <w:rPr>
          <w:rFonts w:ascii="Times New Roman" w:hAnsi="Times New Roman" w:cs="Times New Roman"/>
          <w:sz w:val="21"/>
          <w:szCs w:val="21"/>
        </w:rPr>
        <w:t>投标人必须遵守国家相关法律法规的规定，具有良好的信誉和诚实的商业道德。</w:t>
      </w:r>
      <w:bookmarkEnd w:id="125"/>
      <w:bookmarkEnd w:id="126"/>
      <w:bookmarkEnd w:id="127"/>
      <w:bookmarkEnd w:id="128"/>
      <w:bookmarkEnd w:id="129"/>
      <w:bookmarkEnd w:id="130"/>
    </w:p>
    <w:p w14:paraId="3DDD6B9D">
      <w:pPr>
        <w:pStyle w:val="63"/>
        <w:numPr>
          <w:ilvl w:val="1"/>
          <w:numId w:val="8"/>
        </w:numPr>
        <w:spacing w:line="360" w:lineRule="auto"/>
        <w:ind w:firstLineChars="0"/>
        <w:outlineLvl w:val="0"/>
        <w:rPr>
          <w:rFonts w:ascii="Times New Roman" w:hAnsi="Times New Roman" w:cs="Times New Roman"/>
          <w:sz w:val="21"/>
          <w:szCs w:val="21"/>
        </w:rPr>
      </w:pPr>
      <w:bookmarkStart w:id="131" w:name="_Toc407613060"/>
      <w:bookmarkStart w:id="132" w:name="_Toc29868"/>
      <w:bookmarkStart w:id="133" w:name="_Toc134728815"/>
      <w:bookmarkStart w:id="134" w:name="_Toc15386159"/>
      <w:bookmarkStart w:id="135" w:name="_Toc407612691"/>
      <w:bookmarkStart w:id="136" w:name="_Toc535397485"/>
      <w:bookmarkStart w:id="137" w:name="_Toc406595676"/>
      <w:bookmarkStart w:id="138" w:name="_Toc13225391"/>
      <w:bookmarkStart w:id="139" w:name="_Toc164420712"/>
      <w:bookmarkStart w:id="140" w:name="_Toc28444"/>
      <w:r>
        <w:rPr>
          <w:rFonts w:ascii="Times New Roman" w:hAnsi="Times New Roman" w:cs="Times New Roman"/>
          <w:sz w:val="21"/>
          <w:szCs w:val="21"/>
        </w:rPr>
        <w:t>通</w:t>
      </w:r>
      <w:r>
        <w:rPr>
          <w:rFonts w:hint="eastAsia" w:ascii="Times New Roman" w:hAnsi="Times New Roman" w:cs="Times New Roman"/>
          <w:sz w:val="21"/>
          <w:szCs w:val="21"/>
        </w:rPr>
        <w:t>过“信用中国”网站（</w:t>
      </w:r>
      <w:r>
        <w:rPr>
          <w:rFonts w:ascii="Times New Roman" w:hAnsi="Times New Roman" w:cs="Times New Roman"/>
          <w:sz w:val="21"/>
          <w:szCs w:val="21"/>
        </w:rPr>
        <w:t>www.creditchina.gov.cn）和中国政府采购网（www.ccgp.gov.cn）查询信用记录（截至时点为投标截止时间前5个工作日内），对列入失信被执行人、重大税收违法案件当事人、政府采购严重违法失信行为记录名单的投标人，没有资格参加本项目的投标。</w:t>
      </w:r>
      <w:bookmarkEnd w:id="131"/>
      <w:bookmarkEnd w:id="132"/>
      <w:bookmarkEnd w:id="133"/>
      <w:bookmarkEnd w:id="134"/>
      <w:bookmarkEnd w:id="135"/>
      <w:bookmarkEnd w:id="136"/>
      <w:bookmarkEnd w:id="137"/>
      <w:bookmarkEnd w:id="138"/>
      <w:bookmarkEnd w:id="139"/>
      <w:bookmarkEnd w:id="140"/>
    </w:p>
    <w:p w14:paraId="6C0552AB">
      <w:pPr>
        <w:pStyle w:val="63"/>
        <w:numPr>
          <w:ilvl w:val="1"/>
          <w:numId w:val="8"/>
        </w:numPr>
        <w:spacing w:line="360" w:lineRule="auto"/>
        <w:ind w:firstLineChars="0"/>
        <w:outlineLvl w:val="0"/>
        <w:rPr>
          <w:rFonts w:ascii="Times New Roman" w:hAnsi="Times New Roman" w:cs="Times New Roman"/>
          <w:sz w:val="21"/>
          <w:szCs w:val="21"/>
        </w:rPr>
      </w:pPr>
      <w:bookmarkStart w:id="141" w:name="_Toc134728816"/>
      <w:bookmarkStart w:id="142" w:name="_Toc13225393"/>
      <w:bookmarkStart w:id="143" w:name="_Toc406595679"/>
      <w:bookmarkStart w:id="144" w:name="_Toc164420713"/>
      <w:bookmarkStart w:id="145" w:name="_Toc407613063"/>
      <w:bookmarkStart w:id="146" w:name="_Toc535397487"/>
      <w:bookmarkStart w:id="147" w:name="_Toc26714"/>
      <w:bookmarkStart w:id="148" w:name="_Toc18084"/>
      <w:bookmarkStart w:id="149" w:name="_Toc407612694"/>
      <w:bookmarkStart w:id="150" w:name="_Toc15386161"/>
      <w:r>
        <w:rPr>
          <w:rFonts w:ascii="Times New Roman" w:hAnsi="Times New Roman" w:cs="Times New Roman"/>
          <w:sz w:val="21"/>
          <w:szCs w:val="21"/>
        </w:rPr>
        <w:t>与招标人存在利害关系可能影响招标公正性的单位不得参加投标。单位负责人为同一人或者存在控股、管理关系的不同单位，不得同时参加投标。</w:t>
      </w:r>
      <w:bookmarkEnd w:id="141"/>
      <w:bookmarkEnd w:id="142"/>
      <w:bookmarkEnd w:id="143"/>
      <w:bookmarkEnd w:id="144"/>
      <w:bookmarkEnd w:id="145"/>
      <w:bookmarkEnd w:id="146"/>
      <w:bookmarkEnd w:id="147"/>
      <w:bookmarkEnd w:id="148"/>
      <w:bookmarkEnd w:id="149"/>
      <w:bookmarkEnd w:id="150"/>
    </w:p>
    <w:p w14:paraId="4AE493C8">
      <w:pPr>
        <w:pStyle w:val="63"/>
        <w:numPr>
          <w:ilvl w:val="1"/>
          <w:numId w:val="8"/>
        </w:numPr>
        <w:spacing w:line="360" w:lineRule="auto"/>
        <w:ind w:firstLineChars="0"/>
        <w:outlineLvl w:val="0"/>
        <w:rPr>
          <w:rFonts w:ascii="Times New Roman" w:hAnsi="Times New Roman" w:cs="Times New Roman"/>
          <w:sz w:val="21"/>
          <w:szCs w:val="21"/>
        </w:rPr>
      </w:pPr>
      <w:bookmarkStart w:id="151" w:name="_Toc3622"/>
      <w:bookmarkStart w:id="152" w:name="_Toc407612695"/>
      <w:bookmarkStart w:id="153" w:name="_Toc407613064"/>
      <w:bookmarkStart w:id="154" w:name="_Toc13225394"/>
      <w:bookmarkStart w:id="155" w:name="_Toc406595680"/>
      <w:bookmarkStart w:id="156" w:name="_Toc134728817"/>
      <w:bookmarkStart w:id="157" w:name="_Toc535397488"/>
      <w:bookmarkStart w:id="158" w:name="_Toc164420714"/>
      <w:bookmarkStart w:id="159" w:name="_Toc15386162"/>
      <w:bookmarkStart w:id="160" w:name="_Toc14128"/>
      <w:r>
        <w:rPr>
          <w:rFonts w:ascii="Times New Roman" w:hAnsi="Times New Roman" w:cs="Times New Roman"/>
          <w:sz w:val="21"/>
          <w:szCs w:val="21"/>
        </w:rPr>
        <w:t>投标人不得相互串通投标。投标人不得以低于成本的报价竞标，也不得以他人名义投标或者以其他方式弄虚作假，骗取中标。</w:t>
      </w:r>
      <w:bookmarkEnd w:id="151"/>
      <w:bookmarkEnd w:id="152"/>
      <w:bookmarkEnd w:id="153"/>
      <w:bookmarkEnd w:id="154"/>
      <w:bookmarkEnd w:id="155"/>
      <w:bookmarkEnd w:id="156"/>
      <w:bookmarkEnd w:id="157"/>
      <w:bookmarkEnd w:id="158"/>
      <w:bookmarkEnd w:id="159"/>
      <w:bookmarkEnd w:id="160"/>
    </w:p>
    <w:p w14:paraId="4F32F347">
      <w:pPr>
        <w:pStyle w:val="63"/>
        <w:numPr>
          <w:ilvl w:val="1"/>
          <w:numId w:val="8"/>
        </w:numPr>
        <w:spacing w:line="360" w:lineRule="auto"/>
        <w:ind w:firstLineChars="0"/>
        <w:outlineLvl w:val="0"/>
        <w:rPr>
          <w:rFonts w:ascii="Times New Roman" w:hAnsi="Times New Roman" w:cs="Times New Roman"/>
          <w:sz w:val="21"/>
          <w:szCs w:val="21"/>
        </w:rPr>
      </w:pPr>
      <w:bookmarkStart w:id="161" w:name="_Toc5600"/>
      <w:bookmarkStart w:id="162" w:name="_Toc15386163"/>
      <w:bookmarkStart w:id="163" w:name="_Toc164420715"/>
      <w:bookmarkStart w:id="164" w:name="_Toc31685"/>
      <w:bookmarkStart w:id="165" w:name="_Toc535397489"/>
      <w:bookmarkStart w:id="166" w:name="_Toc134728818"/>
      <w:bookmarkStart w:id="167" w:name="_Toc13225395"/>
      <w:r>
        <w:rPr>
          <w:rFonts w:ascii="Times New Roman" w:hAnsi="Times New Roman" w:cs="Times New Roman"/>
          <w:sz w:val="21"/>
          <w:szCs w:val="21"/>
        </w:rPr>
        <w:t>本项目不接受联合体投标</w:t>
      </w:r>
      <w:r>
        <w:rPr>
          <w:rFonts w:hint="eastAsia" w:ascii="Times New Roman" w:hAnsi="Times New Roman" w:cs="Times New Roman"/>
          <w:sz w:val="21"/>
          <w:szCs w:val="21"/>
        </w:rPr>
        <w:t>。</w:t>
      </w:r>
      <w:bookmarkEnd w:id="161"/>
      <w:bookmarkEnd w:id="162"/>
      <w:bookmarkEnd w:id="163"/>
      <w:bookmarkEnd w:id="164"/>
      <w:bookmarkEnd w:id="165"/>
      <w:bookmarkEnd w:id="166"/>
      <w:bookmarkEnd w:id="167"/>
    </w:p>
    <w:p w14:paraId="6B509B85">
      <w:pPr>
        <w:pStyle w:val="63"/>
        <w:numPr>
          <w:ilvl w:val="1"/>
          <w:numId w:val="8"/>
        </w:numPr>
        <w:spacing w:line="360" w:lineRule="auto"/>
        <w:ind w:firstLineChars="0"/>
        <w:outlineLvl w:val="0"/>
        <w:rPr>
          <w:rFonts w:ascii="Times New Roman" w:hAnsi="Times New Roman" w:cs="Times New Roman"/>
          <w:sz w:val="21"/>
          <w:szCs w:val="21"/>
        </w:rPr>
      </w:pPr>
      <w:bookmarkStart w:id="168" w:name="_Toc15386164"/>
      <w:bookmarkStart w:id="169" w:name="_Toc164420716"/>
      <w:bookmarkStart w:id="170" w:name="_Toc134728819"/>
      <w:bookmarkStart w:id="171" w:name="_Toc12587"/>
      <w:bookmarkStart w:id="172" w:name="_Toc535397490"/>
      <w:bookmarkStart w:id="173" w:name="_Toc13225396"/>
      <w:bookmarkStart w:id="174" w:name="_Toc6951"/>
      <w:r>
        <w:rPr>
          <w:rFonts w:hint="eastAsia" w:ascii="Times New Roman" w:hAnsi="Times New Roman" w:cs="Times New Roman"/>
          <w:sz w:val="21"/>
          <w:szCs w:val="21"/>
        </w:rPr>
        <w:t>投标人必须购买招标文件并登记备案，否则无资格参加投标。</w:t>
      </w:r>
      <w:bookmarkEnd w:id="168"/>
      <w:bookmarkEnd w:id="169"/>
      <w:bookmarkEnd w:id="170"/>
      <w:bookmarkEnd w:id="171"/>
      <w:bookmarkEnd w:id="172"/>
      <w:bookmarkEnd w:id="173"/>
      <w:bookmarkEnd w:id="174"/>
    </w:p>
    <w:p w14:paraId="508B8F2A">
      <w:pPr>
        <w:pStyle w:val="63"/>
        <w:numPr>
          <w:ilvl w:val="0"/>
          <w:numId w:val="8"/>
        </w:numPr>
        <w:spacing w:line="360" w:lineRule="auto"/>
        <w:ind w:firstLineChars="0"/>
        <w:outlineLvl w:val="0"/>
        <w:rPr>
          <w:rFonts w:ascii="Times New Roman" w:hAnsi="Times New Roman" w:cs="Times New Roman"/>
          <w:b/>
          <w:bCs/>
          <w:sz w:val="21"/>
          <w:szCs w:val="21"/>
        </w:rPr>
      </w:pPr>
      <w:bookmarkStart w:id="175" w:name="_Toc535397491"/>
      <w:bookmarkStart w:id="176" w:name="_Toc9777"/>
      <w:bookmarkStart w:id="177" w:name="_Toc407612696"/>
      <w:bookmarkStart w:id="178" w:name="_Toc406595681"/>
      <w:bookmarkStart w:id="179" w:name="_Toc134728820"/>
      <w:bookmarkStart w:id="180" w:name="_Toc19239"/>
      <w:bookmarkStart w:id="181" w:name="_Toc13225397"/>
      <w:bookmarkStart w:id="182" w:name="_Toc164420717"/>
      <w:bookmarkStart w:id="183" w:name="_Toc407613065"/>
      <w:bookmarkStart w:id="184" w:name="_Toc15386165"/>
      <w:r>
        <w:rPr>
          <w:rFonts w:ascii="Times New Roman" w:hAnsi="Times New Roman" w:cs="Times New Roman"/>
          <w:b/>
          <w:bCs/>
          <w:sz w:val="21"/>
          <w:szCs w:val="21"/>
        </w:rPr>
        <w:t>投标范围和投标费用</w:t>
      </w:r>
      <w:bookmarkEnd w:id="175"/>
      <w:bookmarkEnd w:id="176"/>
      <w:bookmarkEnd w:id="177"/>
      <w:bookmarkEnd w:id="178"/>
      <w:bookmarkEnd w:id="179"/>
      <w:bookmarkEnd w:id="180"/>
      <w:bookmarkEnd w:id="181"/>
      <w:bookmarkEnd w:id="182"/>
      <w:bookmarkEnd w:id="183"/>
      <w:bookmarkEnd w:id="184"/>
    </w:p>
    <w:p w14:paraId="4984ECD3">
      <w:pPr>
        <w:pStyle w:val="63"/>
        <w:numPr>
          <w:ilvl w:val="1"/>
          <w:numId w:val="8"/>
        </w:numPr>
        <w:spacing w:line="360" w:lineRule="auto"/>
        <w:ind w:firstLineChars="0"/>
        <w:outlineLvl w:val="0"/>
        <w:rPr>
          <w:rFonts w:ascii="Times New Roman" w:hAnsi="Times New Roman" w:cs="Times New Roman"/>
          <w:sz w:val="21"/>
          <w:szCs w:val="21"/>
        </w:rPr>
      </w:pPr>
      <w:bookmarkStart w:id="185" w:name="_Toc407612697"/>
      <w:bookmarkStart w:id="186" w:name="_Toc134728821"/>
      <w:bookmarkStart w:id="187" w:name="_Toc13225398"/>
      <w:bookmarkStart w:id="188" w:name="_Toc164420718"/>
      <w:bookmarkStart w:id="189" w:name="_Toc407613066"/>
      <w:bookmarkStart w:id="190" w:name="_Toc15386166"/>
      <w:bookmarkStart w:id="191" w:name="_Toc535397492"/>
      <w:bookmarkStart w:id="192" w:name="_Toc9136"/>
      <w:bookmarkStart w:id="193" w:name="_Toc406595682"/>
      <w:bookmarkStart w:id="194" w:name="_Toc17356"/>
      <w:r>
        <w:rPr>
          <w:rFonts w:ascii="Times New Roman" w:hAnsi="Times New Roman" w:cs="Times New Roman"/>
          <w:b/>
          <w:sz w:val="21"/>
          <w:szCs w:val="21"/>
        </w:rPr>
        <w:t>投标人可对一个或多个包号进行投标，但不得将一个包号拆开进行投标。</w:t>
      </w:r>
      <w:bookmarkEnd w:id="185"/>
      <w:bookmarkEnd w:id="186"/>
      <w:bookmarkEnd w:id="187"/>
      <w:bookmarkEnd w:id="188"/>
      <w:bookmarkEnd w:id="189"/>
      <w:bookmarkEnd w:id="190"/>
      <w:bookmarkEnd w:id="191"/>
      <w:bookmarkEnd w:id="192"/>
      <w:bookmarkEnd w:id="193"/>
      <w:bookmarkEnd w:id="194"/>
    </w:p>
    <w:p w14:paraId="0384107B">
      <w:pPr>
        <w:pStyle w:val="63"/>
        <w:numPr>
          <w:ilvl w:val="1"/>
          <w:numId w:val="8"/>
        </w:numPr>
        <w:spacing w:line="360" w:lineRule="auto"/>
        <w:ind w:firstLineChars="0"/>
        <w:outlineLvl w:val="0"/>
        <w:rPr>
          <w:rFonts w:ascii="Times New Roman" w:hAnsi="Times New Roman" w:cs="Times New Roman"/>
        </w:rPr>
      </w:pPr>
      <w:bookmarkStart w:id="195" w:name="_Toc407613067"/>
      <w:bookmarkStart w:id="196" w:name="_Toc134728822"/>
      <w:bookmarkStart w:id="197" w:name="_Toc164420719"/>
      <w:bookmarkStart w:id="198" w:name="_Toc10113"/>
      <w:bookmarkStart w:id="199" w:name="_Toc407612698"/>
      <w:bookmarkStart w:id="200" w:name="_Toc204"/>
      <w:bookmarkStart w:id="201" w:name="_Toc15386167"/>
      <w:bookmarkStart w:id="202" w:name="_Toc13225399"/>
      <w:bookmarkStart w:id="203" w:name="_Toc406595683"/>
      <w:bookmarkStart w:id="204" w:name="_Toc535397493"/>
      <w:r>
        <w:rPr>
          <w:rFonts w:ascii="Times New Roman" w:hAnsi="Times New Roman" w:cs="Times New Roman"/>
          <w:sz w:val="21"/>
          <w:szCs w:val="21"/>
        </w:rPr>
        <w:t>投标人应承担所有参与投标的相关费用，不论投标过程中的作法和结果如何，招标人和招标代理机构在任何情况下均无义务和责任承担这些费用。</w:t>
      </w:r>
      <w:bookmarkEnd w:id="195"/>
      <w:bookmarkEnd w:id="196"/>
      <w:bookmarkEnd w:id="197"/>
      <w:bookmarkEnd w:id="198"/>
      <w:bookmarkEnd w:id="199"/>
      <w:bookmarkEnd w:id="200"/>
      <w:bookmarkEnd w:id="201"/>
      <w:bookmarkEnd w:id="202"/>
      <w:bookmarkEnd w:id="203"/>
      <w:bookmarkEnd w:id="204"/>
    </w:p>
    <w:p w14:paraId="5C155D85">
      <w:pPr>
        <w:spacing w:line="360" w:lineRule="auto"/>
        <w:ind w:firstLine="420" w:firstLineChars="200"/>
        <w:rPr>
          <w:rFonts w:ascii="Times New Roman" w:hAnsi="Times New Roman" w:cs="Times New Roman"/>
          <w:sz w:val="21"/>
          <w:szCs w:val="21"/>
        </w:rPr>
      </w:pPr>
    </w:p>
    <w:p w14:paraId="0D6847B5">
      <w:pPr>
        <w:pStyle w:val="63"/>
        <w:numPr>
          <w:ilvl w:val="0"/>
          <w:numId w:val="7"/>
        </w:numPr>
        <w:spacing w:line="360" w:lineRule="auto"/>
        <w:ind w:left="0" w:firstLine="0" w:firstLineChars="0"/>
        <w:jc w:val="center"/>
        <w:outlineLvl w:val="0"/>
        <w:rPr>
          <w:rFonts w:ascii="Times New Roman" w:hAnsi="Times New Roman" w:cs="Times New Roman"/>
          <w:b/>
        </w:rPr>
      </w:pPr>
      <w:bookmarkStart w:id="205" w:name="_Toc28457"/>
      <w:bookmarkStart w:id="206" w:name="_Toc5217"/>
      <w:r>
        <w:rPr>
          <w:rFonts w:ascii="Times New Roman" w:hAnsi="Times New Roman" w:cs="Times New Roman"/>
          <w:b/>
        </w:rPr>
        <w:t>招标文件</w:t>
      </w:r>
      <w:bookmarkEnd w:id="205"/>
      <w:bookmarkEnd w:id="206"/>
    </w:p>
    <w:p w14:paraId="350F395B">
      <w:pPr>
        <w:pStyle w:val="63"/>
        <w:numPr>
          <w:ilvl w:val="0"/>
          <w:numId w:val="8"/>
        </w:numPr>
        <w:spacing w:line="360" w:lineRule="auto"/>
        <w:ind w:firstLineChars="0"/>
        <w:outlineLvl w:val="0"/>
        <w:rPr>
          <w:rFonts w:ascii="Times New Roman" w:hAnsi="Times New Roman" w:cs="Times New Roman"/>
          <w:b/>
          <w:bCs/>
          <w:sz w:val="21"/>
          <w:szCs w:val="21"/>
        </w:rPr>
      </w:pPr>
      <w:bookmarkStart w:id="207" w:name="_Toc406595685"/>
      <w:bookmarkStart w:id="208" w:name="_Toc5586"/>
      <w:bookmarkStart w:id="209" w:name="_Toc535397495"/>
      <w:bookmarkStart w:id="210" w:name="_Toc407613069"/>
      <w:bookmarkStart w:id="211" w:name="_Toc27852"/>
      <w:bookmarkStart w:id="212" w:name="_Toc407612700"/>
      <w:bookmarkStart w:id="213" w:name="_Toc134728824"/>
      <w:bookmarkStart w:id="214" w:name="_Toc15386169"/>
      <w:bookmarkStart w:id="215" w:name="_Toc164420721"/>
      <w:bookmarkStart w:id="216" w:name="_Toc13225401"/>
      <w:r>
        <w:rPr>
          <w:rFonts w:ascii="Times New Roman" w:hAnsi="Times New Roman" w:cs="Times New Roman"/>
          <w:b/>
          <w:bCs/>
          <w:sz w:val="21"/>
          <w:szCs w:val="21"/>
        </w:rPr>
        <w:t>招标文件的构成</w:t>
      </w:r>
      <w:bookmarkEnd w:id="207"/>
      <w:bookmarkEnd w:id="208"/>
      <w:bookmarkEnd w:id="209"/>
      <w:bookmarkEnd w:id="210"/>
      <w:bookmarkEnd w:id="211"/>
      <w:bookmarkEnd w:id="212"/>
      <w:bookmarkEnd w:id="213"/>
      <w:bookmarkEnd w:id="214"/>
      <w:bookmarkEnd w:id="215"/>
      <w:bookmarkEnd w:id="216"/>
    </w:p>
    <w:p w14:paraId="11D97D57">
      <w:pPr>
        <w:pStyle w:val="63"/>
        <w:numPr>
          <w:ilvl w:val="1"/>
          <w:numId w:val="8"/>
        </w:numPr>
        <w:spacing w:line="360" w:lineRule="auto"/>
        <w:ind w:firstLineChars="0"/>
        <w:outlineLvl w:val="0"/>
        <w:rPr>
          <w:rFonts w:ascii="Times New Roman" w:hAnsi="Times New Roman" w:cs="Times New Roman"/>
          <w:sz w:val="21"/>
          <w:szCs w:val="21"/>
        </w:rPr>
      </w:pPr>
      <w:bookmarkStart w:id="217" w:name="_Toc26143"/>
      <w:bookmarkStart w:id="218" w:name="_Toc407612701"/>
      <w:bookmarkStart w:id="219" w:name="_Toc15386170"/>
      <w:bookmarkStart w:id="220" w:name="_Toc407613070"/>
      <w:bookmarkStart w:id="221" w:name="_Toc406595686"/>
      <w:bookmarkStart w:id="222" w:name="_Toc12093"/>
      <w:bookmarkStart w:id="223" w:name="_Toc134728825"/>
      <w:bookmarkStart w:id="224" w:name="_Toc13225402"/>
      <w:bookmarkStart w:id="225" w:name="_Toc164420722"/>
      <w:bookmarkStart w:id="226" w:name="_Toc535397496"/>
      <w:r>
        <w:rPr>
          <w:rFonts w:ascii="Times New Roman" w:hAnsi="Times New Roman" w:cs="Times New Roman"/>
          <w:sz w:val="21"/>
          <w:szCs w:val="21"/>
        </w:rPr>
        <w:t>招标文件由发售的招标文件及在招标过程中发生的修正和补充文件组成。招标文件共五章，内容如下：</w:t>
      </w:r>
      <w:bookmarkEnd w:id="217"/>
      <w:bookmarkEnd w:id="218"/>
      <w:bookmarkEnd w:id="219"/>
      <w:bookmarkEnd w:id="220"/>
      <w:bookmarkEnd w:id="221"/>
      <w:bookmarkEnd w:id="222"/>
      <w:bookmarkEnd w:id="223"/>
      <w:bookmarkEnd w:id="224"/>
      <w:bookmarkEnd w:id="225"/>
      <w:bookmarkEnd w:id="226"/>
    </w:p>
    <w:p w14:paraId="0E849E5B">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投标邀请</w:t>
      </w:r>
    </w:p>
    <w:p w14:paraId="52B5C157">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投标人须知</w:t>
      </w:r>
    </w:p>
    <w:p w14:paraId="3BD933C3">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合同主要条款</w:t>
      </w:r>
    </w:p>
    <w:p w14:paraId="70892F66">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服务需求及要求</w:t>
      </w:r>
    </w:p>
    <w:p w14:paraId="75B48E07">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附件--投标文件格式</w:t>
      </w:r>
    </w:p>
    <w:p w14:paraId="20757845">
      <w:pPr>
        <w:pStyle w:val="63"/>
        <w:numPr>
          <w:ilvl w:val="1"/>
          <w:numId w:val="8"/>
        </w:numPr>
        <w:spacing w:line="360" w:lineRule="auto"/>
        <w:ind w:firstLineChars="0"/>
        <w:outlineLvl w:val="0"/>
        <w:rPr>
          <w:rFonts w:ascii="Times New Roman" w:hAnsi="Times New Roman" w:cs="Times New Roman"/>
          <w:sz w:val="21"/>
          <w:szCs w:val="21"/>
        </w:rPr>
      </w:pPr>
      <w:bookmarkStart w:id="227" w:name="_Toc7117"/>
      <w:bookmarkStart w:id="228" w:name="_Toc134728826"/>
      <w:bookmarkStart w:id="229" w:name="_Toc406595687"/>
      <w:bookmarkStart w:id="230" w:name="_Toc13225403"/>
      <w:bookmarkStart w:id="231" w:name="_Toc19018"/>
      <w:bookmarkStart w:id="232" w:name="_Toc164420723"/>
      <w:bookmarkStart w:id="233" w:name="_Toc535397497"/>
      <w:bookmarkStart w:id="234" w:name="_Toc407613071"/>
      <w:bookmarkStart w:id="235" w:name="_Toc407612702"/>
      <w:bookmarkStart w:id="236" w:name="_Toc15386171"/>
      <w:r>
        <w:rPr>
          <w:rFonts w:ascii="Times New Roman" w:hAnsi="Times New Roman" w:cs="Times New Roman"/>
          <w:sz w:val="21"/>
          <w:szCs w:val="21"/>
        </w:rPr>
        <w:t>投标人收到招标文件时，应检查页数和附件数量。投标人发现任何页数或附件数量的遗缺，任何数字或词汇模糊不清，任何词义含混不清，应告知招标人补全或澄清。如果投标人不按上述提出要求而造成不良后果，招标人不承担责任。</w:t>
      </w:r>
      <w:bookmarkEnd w:id="227"/>
      <w:bookmarkEnd w:id="228"/>
      <w:bookmarkEnd w:id="229"/>
      <w:bookmarkEnd w:id="230"/>
      <w:bookmarkEnd w:id="231"/>
      <w:bookmarkEnd w:id="232"/>
      <w:bookmarkEnd w:id="233"/>
      <w:bookmarkEnd w:id="234"/>
      <w:bookmarkEnd w:id="235"/>
      <w:bookmarkEnd w:id="236"/>
    </w:p>
    <w:p w14:paraId="2977BD18">
      <w:pPr>
        <w:pStyle w:val="63"/>
        <w:numPr>
          <w:ilvl w:val="0"/>
          <w:numId w:val="8"/>
        </w:numPr>
        <w:spacing w:line="360" w:lineRule="auto"/>
        <w:ind w:firstLineChars="0"/>
        <w:outlineLvl w:val="0"/>
        <w:rPr>
          <w:rFonts w:ascii="Times New Roman" w:hAnsi="Times New Roman" w:cs="Times New Roman"/>
          <w:b/>
          <w:bCs/>
          <w:sz w:val="21"/>
          <w:szCs w:val="21"/>
        </w:rPr>
      </w:pPr>
      <w:bookmarkStart w:id="237" w:name="_Toc164420724"/>
      <w:bookmarkStart w:id="238" w:name="_Toc134728827"/>
      <w:bookmarkStart w:id="239" w:name="_Toc15386172"/>
      <w:bookmarkStart w:id="240" w:name="_Toc22964"/>
      <w:bookmarkStart w:id="241" w:name="_Toc406595688"/>
      <w:bookmarkStart w:id="242" w:name="_Toc407613072"/>
      <w:bookmarkStart w:id="243" w:name="_Toc21681"/>
      <w:bookmarkStart w:id="244" w:name="_Toc13225404"/>
      <w:bookmarkStart w:id="245" w:name="_Toc407612703"/>
      <w:bookmarkStart w:id="246" w:name="_Toc535397498"/>
      <w:r>
        <w:rPr>
          <w:rFonts w:ascii="Times New Roman" w:hAnsi="Times New Roman" w:cs="Times New Roman"/>
          <w:b/>
          <w:bCs/>
          <w:sz w:val="21"/>
          <w:szCs w:val="21"/>
        </w:rPr>
        <w:t>对招标文件的异议</w:t>
      </w:r>
      <w:bookmarkEnd w:id="237"/>
      <w:bookmarkEnd w:id="238"/>
      <w:bookmarkEnd w:id="239"/>
      <w:bookmarkEnd w:id="240"/>
      <w:bookmarkEnd w:id="241"/>
      <w:bookmarkEnd w:id="242"/>
      <w:bookmarkEnd w:id="243"/>
      <w:bookmarkEnd w:id="244"/>
      <w:bookmarkEnd w:id="245"/>
      <w:bookmarkEnd w:id="246"/>
    </w:p>
    <w:p w14:paraId="2824B7FA">
      <w:pPr>
        <w:pStyle w:val="63"/>
        <w:numPr>
          <w:ilvl w:val="1"/>
          <w:numId w:val="8"/>
        </w:numPr>
        <w:spacing w:line="360" w:lineRule="auto"/>
        <w:ind w:firstLineChars="0"/>
        <w:outlineLvl w:val="0"/>
        <w:rPr>
          <w:rFonts w:ascii="Times New Roman" w:hAnsi="Times New Roman" w:cs="Times New Roman"/>
          <w:sz w:val="21"/>
          <w:szCs w:val="21"/>
        </w:rPr>
      </w:pPr>
      <w:bookmarkStart w:id="247" w:name="_Toc13225405"/>
      <w:bookmarkStart w:id="248" w:name="_Toc19228"/>
      <w:bookmarkStart w:id="249" w:name="_Toc407613073"/>
      <w:bookmarkStart w:id="250" w:name="_Toc134728828"/>
      <w:bookmarkStart w:id="251" w:name="_Toc407612704"/>
      <w:bookmarkStart w:id="252" w:name="_Toc15386173"/>
      <w:bookmarkStart w:id="253" w:name="_Toc23236"/>
      <w:bookmarkStart w:id="254" w:name="_Toc406595689"/>
      <w:bookmarkStart w:id="255" w:name="_Toc164420725"/>
      <w:bookmarkStart w:id="256" w:name="_Toc535397499"/>
      <w:r>
        <w:rPr>
          <w:rFonts w:ascii="Times New Roman" w:hAnsi="Times New Roman" w:cs="Times New Roman"/>
          <w:sz w:val="21"/>
          <w:szCs w:val="21"/>
        </w:rPr>
        <w:t>任何对招标文件有异议的投标人或者其他利害关系人，应在投标截止日期10天之前按投标邀请中招标人/招标代理机构的地址以书面形式（包括电报、电传、传真）通知招标人/招标代理机构。招标人/招标代理机构应当自收到异议之日起3日内作出答复。</w:t>
      </w:r>
      <w:bookmarkEnd w:id="247"/>
      <w:bookmarkEnd w:id="248"/>
      <w:bookmarkEnd w:id="249"/>
      <w:bookmarkEnd w:id="250"/>
      <w:bookmarkEnd w:id="251"/>
      <w:bookmarkEnd w:id="252"/>
      <w:bookmarkEnd w:id="253"/>
      <w:bookmarkEnd w:id="254"/>
      <w:bookmarkEnd w:id="255"/>
      <w:bookmarkEnd w:id="256"/>
    </w:p>
    <w:p w14:paraId="5164437A">
      <w:pPr>
        <w:pStyle w:val="63"/>
        <w:numPr>
          <w:ilvl w:val="0"/>
          <w:numId w:val="8"/>
        </w:numPr>
        <w:spacing w:line="360" w:lineRule="auto"/>
        <w:ind w:firstLineChars="0"/>
        <w:outlineLvl w:val="0"/>
        <w:rPr>
          <w:rFonts w:ascii="Times New Roman" w:hAnsi="Times New Roman" w:cs="Times New Roman"/>
          <w:b/>
          <w:bCs/>
          <w:sz w:val="21"/>
          <w:szCs w:val="21"/>
        </w:rPr>
      </w:pPr>
      <w:bookmarkStart w:id="257" w:name="_Toc15386174"/>
      <w:bookmarkStart w:id="258" w:name="_Toc535397500"/>
      <w:bookmarkStart w:id="259" w:name="_Toc407613074"/>
      <w:bookmarkStart w:id="260" w:name="_Toc406595690"/>
      <w:bookmarkStart w:id="261" w:name="_Toc134728829"/>
      <w:bookmarkStart w:id="262" w:name="_Toc28899"/>
      <w:bookmarkStart w:id="263" w:name="_Toc23998"/>
      <w:bookmarkStart w:id="264" w:name="_Toc164420726"/>
      <w:bookmarkStart w:id="265" w:name="_Toc407612705"/>
      <w:bookmarkStart w:id="266" w:name="_Toc13225406"/>
      <w:r>
        <w:rPr>
          <w:rFonts w:ascii="Times New Roman" w:hAnsi="Times New Roman" w:cs="Times New Roman"/>
          <w:b/>
          <w:bCs/>
          <w:sz w:val="21"/>
          <w:szCs w:val="21"/>
        </w:rPr>
        <w:t>招标文件的澄清或修改</w:t>
      </w:r>
      <w:bookmarkEnd w:id="257"/>
      <w:bookmarkEnd w:id="258"/>
      <w:bookmarkEnd w:id="259"/>
      <w:bookmarkEnd w:id="260"/>
      <w:bookmarkEnd w:id="261"/>
      <w:bookmarkEnd w:id="262"/>
      <w:bookmarkEnd w:id="263"/>
      <w:bookmarkEnd w:id="264"/>
      <w:bookmarkEnd w:id="265"/>
      <w:bookmarkEnd w:id="266"/>
    </w:p>
    <w:p w14:paraId="4A38CC7B">
      <w:pPr>
        <w:pStyle w:val="63"/>
        <w:numPr>
          <w:ilvl w:val="1"/>
          <w:numId w:val="8"/>
        </w:numPr>
        <w:spacing w:line="360" w:lineRule="auto"/>
        <w:ind w:firstLineChars="0"/>
        <w:outlineLvl w:val="0"/>
        <w:rPr>
          <w:rFonts w:ascii="Times New Roman" w:hAnsi="Times New Roman" w:cs="Times New Roman"/>
          <w:sz w:val="21"/>
          <w:szCs w:val="21"/>
        </w:rPr>
      </w:pPr>
      <w:bookmarkStart w:id="267" w:name="_Toc134728830"/>
      <w:bookmarkStart w:id="268" w:name="_Toc407612706"/>
      <w:bookmarkStart w:id="269" w:name="_Toc13225407"/>
      <w:bookmarkStart w:id="270" w:name="_Toc11504"/>
      <w:bookmarkStart w:id="271" w:name="_Toc30903"/>
      <w:bookmarkStart w:id="272" w:name="_Toc164420727"/>
      <w:bookmarkStart w:id="273" w:name="_Toc406595691"/>
      <w:bookmarkStart w:id="274" w:name="_Toc535397501"/>
      <w:bookmarkStart w:id="275" w:name="_Toc407613075"/>
      <w:bookmarkStart w:id="276" w:name="_Toc15386175"/>
      <w:r>
        <w:rPr>
          <w:rFonts w:ascii="Times New Roman" w:hAnsi="Times New Roman" w:cs="Times New Roman"/>
          <w:sz w:val="21"/>
          <w:szCs w:val="21"/>
        </w:rPr>
        <w:t>无论出于何种原因，招标人可主动地或在解答投标人要求澄清的问题时对招标文件进行澄清或修改。</w:t>
      </w:r>
      <w:bookmarkEnd w:id="267"/>
      <w:bookmarkEnd w:id="268"/>
      <w:bookmarkEnd w:id="269"/>
      <w:bookmarkEnd w:id="270"/>
      <w:bookmarkEnd w:id="271"/>
      <w:bookmarkEnd w:id="272"/>
      <w:bookmarkEnd w:id="273"/>
      <w:bookmarkEnd w:id="274"/>
      <w:bookmarkEnd w:id="275"/>
      <w:bookmarkEnd w:id="276"/>
    </w:p>
    <w:p w14:paraId="565E49E6">
      <w:pPr>
        <w:pStyle w:val="63"/>
        <w:numPr>
          <w:ilvl w:val="1"/>
          <w:numId w:val="8"/>
        </w:numPr>
        <w:spacing w:line="360" w:lineRule="auto"/>
        <w:ind w:firstLineChars="0"/>
        <w:outlineLvl w:val="0"/>
        <w:rPr>
          <w:rFonts w:ascii="Times New Roman" w:hAnsi="Times New Roman" w:cs="Times New Roman"/>
          <w:sz w:val="21"/>
          <w:szCs w:val="21"/>
        </w:rPr>
      </w:pPr>
      <w:bookmarkStart w:id="277" w:name="_Toc535397502"/>
      <w:bookmarkStart w:id="278" w:name="_Toc134728831"/>
      <w:bookmarkStart w:id="279" w:name="_Toc407612707"/>
      <w:bookmarkStart w:id="280" w:name="_Toc22752"/>
      <w:bookmarkStart w:id="281" w:name="_Toc406595692"/>
      <w:bookmarkStart w:id="282" w:name="_Toc164420728"/>
      <w:bookmarkStart w:id="283" w:name="_Toc13225408"/>
      <w:bookmarkStart w:id="284" w:name="_Toc407613076"/>
      <w:bookmarkStart w:id="285" w:name="_Toc22330"/>
      <w:bookmarkStart w:id="286" w:name="_Toc15386176"/>
      <w:r>
        <w:rPr>
          <w:rFonts w:ascii="Times New Roman" w:hAnsi="Times New Roman" w:cs="Times New Roman"/>
          <w:sz w:val="21"/>
          <w:szCs w:val="21"/>
        </w:rPr>
        <w:t>澄清或者修改的内容可能影响投标文件编制的，招标人/招标代理机构应当在投标截止时间至少15日前，以书面形式通知所有获取招标文件的投标人；不足15日的，招标人/招标代理机构应当顺延提交投标文件的截止时间。投标人在收到该通知后应立即以电报或传真的形式予以确认。</w:t>
      </w:r>
      <w:bookmarkEnd w:id="277"/>
      <w:bookmarkEnd w:id="278"/>
      <w:bookmarkEnd w:id="279"/>
      <w:bookmarkEnd w:id="280"/>
      <w:bookmarkEnd w:id="281"/>
      <w:bookmarkEnd w:id="282"/>
      <w:bookmarkEnd w:id="283"/>
      <w:bookmarkEnd w:id="284"/>
      <w:bookmarkEnd w:id="285"/>
      <w:bookmarkEnd w:id="286"/>
    </w:p>
    <w:p w14:paraId="5F5AF738">
      <w:pPr>
        <w:pStyle w:val="63"/>
        <w:numPr>
          <w:ilvl w:val="1"/>
          <w:numId w:val="8"/>
        </w:numPr>
        <w:spacing w:line="360" w:lineRule="auto"/>
        <w:ind w:firstLineChars="0"/>
        <w:outlineLvl w:val="0"/>
        <w:rPr>
          <w:rFonts w:ascii="Times New Roman" w:hAnsi="Times New Roman" w:cs="Times New Roman"/>
          <w:sz w:val="21"/>
          <w:szCs w:val="21"/>
        </w:rPr>
      </w:pPr>
      <w:bookmarkStart w:id="287" w:name="_Toc26648"/>
      <w:bookmarkStart w:id="288" w:name="_Toc28667"/>
      <w:bookmarkStart w:id="289" w:name="_Toc15386177"/>
      <w:bookmarkStart w:id="290" w:name="_Toc406595693"/>
      <w:bookmarkStart w:id="291" w:name="_Toc134728832"/>
      <w:bookmarkStart w:id="292" w:name="_Toc407613077"/>
      <w:bookmarkStart w:id="293" w:name="_Toc407612708"/>
      <w:bookmarkStart w:id="294" w:name="_Toc535397503"/>
      <w:bookmarkStart w:id="295" w:name="_Toc13225409"/>
      <w:bookmarkStart w:id="296" w:name="_Toc164420729"/>
      <w:r>
        <w:rPr>
          <w:rFonts w:ascii="Times New Roman" w:hAnsi="Times New Roman" w:cs="Times New Roman"/>
          <w:sz w:val="21"/>
          <w:szCs w:val="21"/>
        </w:rPr>
        <w:t>招标文件</w:t>
      </w:r>
      <w:r>
        <w:rPr>
          <w:rFonts w:ascii="Times New Roman" w:hAnsi="Times New Roman" w:cs="Times New Roman"/>
          <w:kern w:val="24"/>
          <w:sz w:val="21"/>
          <w:szCs w:val="21"/>
        </w:rPr>
        <w:t>的澄清或修改书将构成</w:t>
      </w:r>
      <w:r>
        <w:rPr>
          <w:rFonts w:ascii="Times New Roman" w:hAnsi="Times New Roman" w:cs="Times New Roman"/>
          <w:sz w:val="21"/>
          <w:szCs w:val="21"/>
        </w:rPr>
        <w:t>招标文件</w:t>
      </w:r>
      <w:r>
        <w:rPr>
          <w:rFonts w:ascii="Times New Roman" w:hAnsi="Times New Roman" w:cs="Times New Roman"/>
          <w:kern w:val="24"/>
          <w:sz w:val="21"/>
          <w:szCs w:val="21"/>
        </w:rPr>
        <w:t>的一部分，对招标人和投标人都具有约束力。</w:t>
      </w:r>
      <w:bookmarkEnd w:id="287"/>
      <w:bookmarkEnd w:id="288"/>
      <w:bookmarkEnd w:id="289"/>
      <w:bookmarkEnd w:id="290"/>
      <w:bookmarkEnd w:id="291"/>
      <w:bookmarkEnd w:id="292"/>
      <w:bookmarkEnd w:id="293"/>
      <w:bookmarkEnd w:id="294"/>
      <w:bookmarkEnd w:id="295"/>
      <w:bookmarkEnd w:id="296"/>
    </w:p>
    <w:p w14:paraId="33A54ED6">
      <w:pPr>
        <w:pStyle w:val="63"/>
        <w:numPr>
          <w:ilvl w:val="1"/>
          <w:numId w:val="8"/>
        </w:numPr>
        <w:spacing w:line="360" w:lineRule="auto"/>
        <w:ind w:firstLineChars="0"/>
        <w:outlineLvl w:val="0"/>
        <w:rPr>
          <w:rFonts w:ascii="Times New Roman" w:hAnsi="Times New Roman" w:cs="Times New Roman"/>
        </w:rPr>
      </w:pPr>
      <w:bookmarkStart w:id="297" w:name="_Toc407613078"/>
      <w:bookmarkStart w:id="298" w:name="_Toc13225410"/>
      <w:bookmarkStart w:id="299" w:name="_Toc15386178"/>
      <w:bookmarkStart w:id="300" w:name="_Toc134728833"/>
      <w:bookmarkStart w:id="301" w:name="_Toc406595694"/>
      <w:bookmarkStart w:id="302" w:name="_Toc535397504"/>
      <w:bookmarkStart w:id="303" w:name="_Toc8836"/>
      <w:bookmarkStart w:id="304" w:name="_Toc1545"/>
      <w:bookmarkStart w:id="305" w:name="_Toc407612709"/>
      <w:bookmarkStart w:id="306" w:name="_Toc164420730"/>
      <w:r>
        <w:rPr>
          <w:rFonts w:ascii="Times New Roman" w:hAnsi="Times New Roman" w:cs="Times New Roman"/>
          <w:sz w:val="21"/>
          <w:szCs w:val="21"/>
        </w:rPr>
        <w:t>招标人保留在任何时候对招标文件的解释权</w:t>
      </w:r>
      <w:r>
        <w:rPr>
          <w:rFonts w:ascii="Times New Roman" w:hAnsi="Times New Roman" w:cs="Times New Roman"/>
          <w:kern w:val="24"/>
          <w:sz w:val="21"/>
          <w:szCs w:val="21"/>
        </w:rPr>
        <w:t>。</w:t>
      </w:r>
      <w:bookmarkEnd w:id="297"/>
      <w:bookmarkEnd w:id="298"/>
      <w:bookmarkEnd w:id="299"/>
      <w:bookmarkEnd w:id="300"/>
      <w:bookmarkEnd w:id="301"/>
      <w:bookmarkEnd w:id="302"/>
      <w:bookmarkEnd w:id="303"/>
      <w:bookmarkEnd w:id="304"/>
      <w:bookmarkEnd w:id="305"/>
      <w:bookmarkEnd w:id="306"/>
    </w:p>
    <w:p w14:paraId="0665396A">
      <w:pPr>
        <w:spacing w:line="360" w:lineRule="auto"/>
        <w:ind w:firstLine="420" w:firstLineChars="200"/>
        <w:rPr>
          <w:rFonts w:ascii="Times New Roman" w:hAnsi="Times New Roman" w:cs="Times New Roman"/>
          <w:sz w:val="21"/>
          <w:szCs w:val="21"/>
        </w:rPr>
      </w:pPr>
    </w:p>
    <w:p w14:paraId="158CAB87">
      <w:pPr>
        <w:pStyle w:val="63"/>
        <w:numPr>
          <w:ilvl w:val="0"/>
          <w:numId w:val="7"/>
        </w:numPr>
        <w:spacing w:line="360" w:lineRule="auto"/>
        <w:ind w:left="0" w:firstLine="0" w:firstLineChars="0"/>
        <w:jc w:val="center"/>
        <w:outlineLvl w:val="0"/>
        <w:rPr>
          <w:rFonts w:ascii="Times New Roman" w:hAnsi="Times New Roman" w:cs="Times New Roman"/>
          <w:b/>
        </w:rPr>
      </w:pPr>
      <w:bookmarkStart w:id="307" w:name="_Toc5492"/>
      <w:bookmarkStart w:id="308" w:name="_Toc28000"/>
      <w:r>
        <w:rPr>
          <w:rFonts w:ascii="Times New Roman" w:hAnsi="Times New Roman" w:cs="Times New Roman"/>
          <w:b/>
        </w:rPr>
        <w:t>投标文件的编写</w:t>
      </w:r>
      <w:bookmarkEnd w:id="307"/>
      <w:bookmarkEnd w:id="308"/>
    </w:p>
    <w:p w14:paraId="4C6EEFE8">
      <w:pPr>
        <w:pStyle w:val="63"/>
        <w:numPr>
          <w:ilvl w:val="0"/>
          <w:numId w:val="8"/>
        </w:numPr>
        <w:spacing w:line="360" w:lineRule="auto"/>
        <w:ind w:firstLineChars="0"/>
        <w:outlineLvl w:val="0"/>
        <w:rPr>
          <w:rFonts w:ascii="Times New Roman" w:hAnsi="Times New Roman" w:cs="Times New Roman"/>
          <w:b/>
          <w:bCs/>
          <w:sz w:val="21"/>
          <w:szCs w:val="21"/>
        </w:rPr>
      </w:pPr>
      <w:bookmarkStart w:id="309" w:name="_Toc1720"/>
      <w:bookmarkStart w:id="310" w:name="_Toc406595696"/>
      <w:bookmarkStart w:id="311" w:name="_Toc15386180"/>
      <w:bookmarkStart w:id="312" w:name="_Toc134728835"/>
      <w:bookmarkStart w:id="313" w:name="_Toc407612711"/>
      <w:bookmarkStart w:id="314" w:name="_Toc407613080"/>
      <w:bookmarkStart w:id="315" w:name="_Toc7049"/>
      <w:bookmarkStart w:id="316" w:name="_Toc164420732"/>
      <w:bookmarkStart w:id="317" w:name="_Toc13225412"/>
      <w:bookmarkStart w:id="318" w:name="_Toc535397506"/>
      <w:r>
        <w:rPr>
          <w:rFonts w:ascii="Times New Roman" w:hAnsi="Times New Roman" w:cs="Times New Roman"/>
          <w:b/>
          <w:bCs/>
          <w:sz w:val="21"/>
          <w:szCs w:val="21"/>
        </w:rPr>
        <w:t>投标要求</w:t>
      </w:r>
      <w:bookmarkEnd w:id="309"/>
      <w:bookmarkEnd w:id="310"/>
      <w:bookmarkEnd w:id="311"/>
      <w:bookmarkEnd w:id="312"/>
      <w:bookmarkEnd w:id="313"/>
      <w:bookmarkEnd w:id="314"/>
      <w:bookmarkEnd w:id="315"/>
      <w:bookmarkEnd w:id="316"/>
      <w:bookmarkEnd w:id="317"/>
      <w:bookmarkEnd w:id="318"/>
    </w:p>
    <w:p w14:paraId="21BC79FF">
      <w:pPr>
        <w:pStyle w:val="63"/>
        <w:numPr>
          <w:ilvl w:val="1"/>
          <w:numId w:val="8"/>
        </w:numPr>
        <w:spacing w:line="360" w:lineRule="auto"/>
        <w:ind w:firstLineChars="0"/>
        <w:outlineLvl w:val="0"/>
        <w:rPr>
          <w:rFonts w:ascii="Times New Roman" w:hAnsi="Times New Roman" w:cs="Times New Roman"/>
          <w:sz w:val="21"/>
          <w:szCs w:val="21"/>
        </w:rPr>
      </w:pPr>
      <w:bookmarkStart w:id="319" w:name="_Toc676"/>
      <w:bookmarkStart w:id="320" w:name="_Toc406595697"/>
      <w:bookmarkStart w:id="321" w:name="_Toc13225413"/>
      <w:bookmarkStart w:id="322" w:name="_Toc15386181"/>
      <w:bookmarkStart w:id="323" w:name="_Toc134728836"/>
      <w:bookmarkStart w:id="324" w:name="_Toc535397507"/>
      <w:bookmarkStart w:id="325" w:name="_Toc407612712"/>
      <w:bookmarkStart w:id="326" w:name="_Toc164420733"/>
      <w:bookmarkStart w:id="327" w:name="_Toc407613081"/>
      <w:bookmarkStart w:id="328" w:name="_Toc627"/>
      <w:r>
        <w:rPr>
          <w:rFonts w:ascii="Times New Roman" w:hAnsi="Times New Roman" w:cs="Times New Roman"/>
          <w:sz w:val="21"/>
          <w:szCs w:val="21"/>
        </w:rPr>
        <w:t>投标人应认真阅读招标文件中所有的事项、格式、条款和服务需求及要求等。投标人没有按照招标文件要求提交全部资料，或者投标没有对招标文件在各方面都作出实质性响应是投标人的风险，并可能导致其投标被拒绝。</w:t>
      </w:r>
      <w:bookmarkEnd w:id="319"/>
      <w:bookmarkEnd w:id="320"/>
      <w:bookmarkEnd w:id="321"/>
      <w:bookmarkEnd w:id="322"/>
      <w:bookmarkEnd w:id="323"/>
      <w:bookmarkEnd w:id="324"/>
      <w:bookmarkEnd w:id="325"/>
      <w:bookmarkEnd w:id="326"/>
      <w:bookmarkEnd w:id="327"/>
      <w:bookmarkEnd w:id="328"/>
    </w:p>
    <w:p w14:paraId="2161DD85">
      <w:pPr>
        <w:pStyle w:val="63"/>
        <w:numPr>
          <w:ilvl w:val="0"/>
          <w:numId w:val="8"/>
        </w:numPr>
        <w:spacing w:line="360" w:lineRule="auto"/>
        <w:ind w:firstLineChars="0"/>
        <w:outlineLvl w:val="0"/>
        <w:rPr>
          <w:rFonts w:ascii="Times New Roman" w:hAnsi="Times New Roman" w:cs="Times New Roman"/>
          <w:b/>
          <w:bCs/>
          <w:sz w:val="21"/>
          <w:szCs w:val="21"/>
        </w:rPr>
      </w:pPr>
      <w:bookmarkStart w:id="329" w:name="_Toc134728837"/>
      <w:bookmarkStart w:id="330" w:name="_Toc407613082"/>
      <w:bookmarkStart w:id="331" w:name="_Toc13225414"/>
      <w:bookmarkStart w:id="332" w:name="_Toc15386182"/>
      <w:bookmarkStart w:id="333" w:name="_Toc164420734"/>
      <w:bookmarkStart w:id="334" w:name="_Toc406595698"/>
      <w:bookmarkStart w:id="335" w:name="_Toc407612713"/>
      <w:bookmarkStart w:id="336" w:name="_Toc535397508"/>
      <w:bookmarkStart w:id="337" w:name="_Toc21993"/>
      <w:bookmarkStart w:id="338" w:name="_Toc24505"/>
      <w:r>
        <w:rPr>
          <w:rFonts w:ascii="Times New Roman" w:hAnsi="Times New Roman" w:cs="Times New Roman"/>
          <w:b/>
          <w:bCs/>
          <w:sz w:val="21"/>
          <w:szCs w:val="21"/>
        </w:rPr>
        <w:t>投标语言</w:t>
      </w:r>
      <w:bookmarkEnd w:id="329"/>
      <w:bookmarkEnd w:id="330"/>
      <w:bookmarkEnd w:id="331"/>
      <w:bookmarkEnd w:id="332"/>
      <w:bookmarkEnd w:id="333"/>
      <w:bookmarkEnd w:id="334"/>
      <w:bookmarkEnd w:id="335"/>
      <w:bookmarkEnd w:id="336"/>
      <w:bookmarkEnd w:id="337"/>
      <w:bookmarkEnd w:id="338"/>
    </w:p>
    <w:p w14:paraId="5A46D7FB">
      <w:pPr>
        <w:pStyle w:val="63"/>
        <w:numPr>
          <w:ilvl w:val="1"/>
          <w:numId w:val="8"/>
        </w:numPr>
        <w:spacing w:line="360" w:lineRule="auto"/>
        <w:ind w:firstLineChars="0"/>
        <w:outlineLvl w:val="0"/>
        <w:rPr>
          <w:rFonts w:ascii="Times New Roman" w:hAnsi="Times New Roman" w:cs="Times New Roman"/>
          <w:sz w:val="21"/>
          <w:szCs w:val="21"/>
        </w:rPr>
      </w:pPr>
      <w:bookmarkStart w:id="339" w:name="_Toc406595699"/>
      <w:bookmarkStart w:id="340" w:name="_Toc407613083"/>
      <w:bookmarkStart w:id="341" w:name="_Toc407612714"/>
      <w:bookmarkStart w:id="342" w:name="_Toc134728838"/>
      <w:bookmarkStart w:id="343" w:name="_Toc13225415"/>
      <w:bookmarkStart w:id="344" w:name="_Toc9326"/>
      <w:bookmarkStart w:id="345" w:name="_Toc8008"/>
      <w:bookmarkStart w:id="346" w:name="_Toc15386183"/>
      <w:bookmarkStart w:id="347" w:name="_Toc535397509"/>
      <w:bookmarkStart w:id="348" w:name="_Toc164420735"/>
      <w:r>
        <w:rPr>
          <w:rFonts w:ascii="Times New Roman" w:hAnsi="Times New Roman" w:cs="Times New Roman"/>
          <w:sz w:val="21"/>
          <w:szCs w:val="21"/>
        </w:rPr>
        <w:t>投标人提交的投标文件及投标人与招标人就有关投标的所有来往函电均使用中文。投标人可以提交其它语言的资料，但有关段落必须翻译成中文，在有差异时以中文为准。</w:t>
      </w:r>
      <w:bookmarkEnd w:id="339"/>
      <w:bookmarkEnd w:id="340"/>
      <w:bookmarkEnd w:id="341"/>
      <w:bookmarkEnd w:id="342"/>
      <w:bookmarkEnd w:id="343"/>
      <w:bookmarkEnd w:id="344"/>
      <w:bookmarkEnd w:id="345"/>
      <w:bookmarkEnd w:id="346"/>
      <w:bookmarkEnd w:id="347"/>
      <w:bookmarkEnd w:id="348"/>
    </w:p>
    <w:p w14:paraId="7FB26606">
      <w:pPr>
        <w:pStyle w:val="63"/>
        <w:numPr>
          <w:ilvl w:val="0"/>
          <w:numId w:val="8"/>
        </w:numPr>
        <w:spacing w:line="360" w:lineRule="auto"/>
        <w:ind w:firstLineChars="0"/>
        <w:outlineLvl w:val="0"/>
        <w:rPr>
          <w:rFonts w:ascii="Times New Roman" w:hAnsi="Times New Roman" w:cs="Times New Roman"/>
          <w:b/>
          <w:bCs/>
          <w:sz w:val="21"/>
          <w:szCs w:val="21"/>
        </w:rPr>
      </w:pPr>
      <w:bookmarkStart w:id="349" w:name="_Toc18318"/>
      <w:bookmarkStart w:id="350" w:name="_Toc407613084"/>
      <w:bookmarkStart w:id="351" w:name="_Toc29220"/>
      <w:bookmarkStart w:id="352" w:name="_Toc407612715"/>
      <w:bookmarkStart w:id="353" w:name="_Toc535397510"/>
      <w:bookmarkStart w:id="354" w:name="_Toc164420736"/>
      <w:bookmarkStart w:id="355" w:name="_Toc134728839"/>
      <w:bookmarkStart w:id="356" w:name="_Toc15386184"/>
      <w:bookmarkStart w:id="357" w:name="_Toc406595700"/>
      <w:bookmarkStart w:id="358" w:name="_Toc13225416"/>
      <w:r>
        <w:rPr>
          <w:rFonts w:ascii="Times New Roman" w:hAnsi="Times New Roman" w:cs="Times New Roman"/>
          <w:b/>
          <w:bCs/>
          <w:sz w:val="21"/>
          <w:szCs w:val="21"/>
        </w:rPr>
        <w:t>投标计量单位</w:t>
      </w:r>
      <w:bookmarkEnd w:id="349"/>
      <w:bookmarkEnd w:id="350"/>
      <w:bookmarkEnd w:id="351"/>
      <w:bookmarkEnd w:id="352"/>
      <w:bookmarkEnd w:id="353"/>
      <w:bookmarkEnd w:id="354"/>
      <w:bookmarkEnd w:id="355"/>
      <w:bookmarkEnd w:id="356"/>
      <w:bookmarkEnd w:id="357"/>
      <w:bookmarkEnd w:id="358"/>
    </w:p>
    <w:p w14:paraId="70E7C1CB">
      <w:pPr>
        <w:pStyle w:val="63"/>
        <w:numPr>
          <w:ilvl w:val="1"/>
          <w:numId w:val="8"/>
        </w:numPr>
        <w:spacing w:line="360" w:lineRule="auto"/>
        <w:ind w:firstLineChars="0"/>
        <w:outlineLvl w:val="0"/>
        <w:rPr>
          <w:rFonts w:ascii="Times New Roman" w:hAnsi="Times New Roman" w:cs="Times New Roman"/>
          <w:sz w:val="21"/>
          <w:szCs w:val="21"/>
        </w:rPr>
      </w:pPr>
      <w:bookmarkStart w:id="359" w:name="_Toc13225417"/>
      <w:bookmarkStart w:id="360" w:name="_Toc406595701"/>
      <w:bookmarkStart w:id="361" w:name="_Toc407612716"/>
      <w:bookmarkStart w:id="362" w:name="_Toc407613085"/>
      <w:bookmarkStart w:id="363" w:name="_Toc164420737"/>
      <w:bookmarkStart w:id="364" w:name="_Toc15846"/>
      <w:bookmarkStart w:id="365" w:name="_Toc15125"/>
      <w:bookmarkStart w:id="366" w:name="_Toc15386185"/>
      <w:bookmarkStart w:id="367" w:name="_Toc535397511"/>
      <w:bookmarkStart w:id="368" w:name="_Toc134728840"/>
      <w:r>
        <w:rPr>
          <w:rFonts w:ascii="Times New Roman" w:hAnsi="Times New Roman" w:cs="Times New Roman"/>
          <w:sz w:val="21"/>
          <w:szCs w:val="21"/>
        </w:rPr>
        <w:t>除在招标文件的“服务需求及要求”中另有规定外,计量单位应使用我国法定计量单位（国际单位制和国家选定的其它计量单位）。</w:t>
      </w:r>
      <w:bookmarkEnd w:id="359"/>
      <w:bookmarkEnd w:id="360"/>
      <w:bookmarkEnd w:id="361"/>
      <w:bookmarkEnd w:id="362"/>
      <w:bookmarkEnd w:id="363"/>
      <w:bookmarkEnd w:id="364"/>
      <w:bookmarkEnd w:id="365"/>
      <w:bookmarkEnd w:id="366"/>
      <w:bookmarkEnd w:id="367"/>
      <w:bookmarkEnd w:id="368"/>
    </w:p>
    <w:p w14:paraId="24F1B120">
      <w:pPr>
        <w:pStyle w:val="63"/>
        <w:numPr>
          <w:ilvl w:val="0"/>
          <w:numId w:val="8"/>
        </w:numPr>
        <w:spacing w:line="360" w:lineRule="auto"/>
        <w:ind w:firstLineChars="0"/>
        <w:outlineLvl w:val="0"/>
        <w:rPr>
          <w:rFonts w:ascii="Times New Roman" w:hAnsi="Times New Roman" w:cs="Times New Roman"/>
          <w:b/>
          <w:bCs/>
          <w:sz w:val="21"/>
          <w:szCs w:val="21"/>
        </w:rPr>
      </w:pPr>
      <w:bookmarkStart w:id="369" w:name="_Toc407612717"/>
      <w:bookmarkStart w:id="370" w:name="_Toc164420738"/>
      <w:bookmarkStart w:id="371" w:name="_Toc13225418"/>
      <w:bookmarkStart w:id="372" w:name="_Toc535397512"/>
      <w:bookmarkStart w:id="373" w:name="_Toc407613086"/>
      <w:bookmarkStart w:id="374" w:name="_Toc134728841"/>
      <w:bookmarkStart w:id="375" w:name="_Toc28409"/>
      <w:bookmarkStart w:id="376" w:name="_Toc25300"/>
      <w:bookmarkStart w:id="377" w:name="_Toc406595702"/>
      <w:bookmarkStart w:id="378" w:name="_Toc15386186"/>
      <w:r>
        <w:rPr>
          <w:rFonts w:ascii="Times New Roman" w:hAnsi="Times New Roman" w:cs="Times New Roman"/>
          <w:b/>
          <w:bCs/>
          <w:sz w:val="21"/>
          <w:szCs w:val="21"/>
        </w:rPr>
        <w:t>投标文件的组成</w:t>
      </w:r>
      <w:bookmarkEnd w:id="369"/>
      <w:bookmarkEnd w:id="370"/>
      <w:bookmarkEnd w:id="371"/>
      <w:bookmarkEnd w:id="372"/>
      <w:bookmarkEnd w:id="373"/>
      <w:bookmarkEnd w:id="374"/>
      <w:bookmarkEnd w:id="375"/>
      <w:bookmarkEnd w:id="376"/>
      <w:bookmarkEnd w:id="377"/>
      <w:bookmarkEnd w:id="378"/>
    </w:p>
    <w:p w14:paraId="711567AA">
      <w:pPr>
        <w:pStyle w:val="63"/>
        <w:numPr>
          <w:ilvl w:val="1"/>
          <w:numId w:val="8"/>
        </w:numPr>
        <w:spacing w:line="360" w:lineRule="auto"/>
        <w:ind w:firstLineChars="0"/>
        <w:outlineLvl w:val="0"/>
        <w:rPr>
          <w:rFonts w:ascii="Times New Roman" w:hAnsi="Times New Roman" w:cs="Times New Roman"/>
          <w:sz w:val="21"/>
          <w:szCs w:val="21"/>
        </w:rPr>
      </w:pPr>
      <w:bookmarkStart w:id="379" w:name="_Toc15386187"/>
      <w:bookmarkStart w:id="380" w:name="_Toc134728842"/>
      <w:bookmarkStart w:id="381" w:name="_Toc407612718"/>
      <w:bookmarkStart w:id="382" w:name="_Toc407613087"/>
      <w:bookmarkStart w:id="383" w:name="_Toc164420739"/>
      <w:bookmarkStart w:id="384" w:name="_Toc406595703"/>
      <w:bookmarkStart w:id="385" w:name="_Toc7130"/>
      <w:bookmarkStart w:id="386" w:name="_Toc30802"/>
      <w:bookmarkStart w:id="387" w:name="_Toc535397513"/>
      <w:bookmarkStart w:id="388" w:name="_Toc13225419"/>
      <w:r>
        <w:rPr>
          <w:rFonts w:ascii="Times New Roman" w:hAnsi="Times New Roman" w:cs="Times New Roman"/>
          <w:sz w:val="21"/>
          <w:szCs w:val="21"/>
        </w:rPr>
        <w:t>投标人应在其投标文件中按招标文件第五章规定的格式（如有），填写提供以下（但不限于）文件或资料，提供复印件的须</w:t>
      </w:r>
      <w:r>
        <w:rPr>
          <w:rFonts w:ascii="Times New Roman" w:hAnsi="Times New Roman" w:cs="Times New Roman"/>
          <w:sz w:val="21"/>
          <w:szCs w:val="21"/>
          <w:lang w:val="zh-CN"/>
        </w:rPr>
        <w:t>加盖单位公章：</w:t>
      </w:r>
      <w:bookmarkEnd w:id="379"/>
      <w:bookmarkEnd w:id="380"/>
      <w:bookmarkEnd w:id="381"/>
      <w:bookmarkEnd w:id="382"/>
      <w:bookmarkEnd w:id="383"/>
      <w:bookmarkEnd w:id="384"/>
      <w:bookmarkEnd w:id="385"/>
      <w:bookmarkEnd w:id="386"/>
      <w:bookmarkEnd w:id="387"/>
      <w:bookmarkEnd w:id="388"/>
    </w:p>
    <w:p w14:paraId="1289DD9D">
      <w:pPr>
        <w:numPr>
          <w:ilvl w:val="0"/>
          <w:numId w:val="10"/>
        </w:numPr>
        <w:spacing w:line="360" w:lineRule="auto"/>
        <w:rPr>
          <w:rFonts w:ascii="Times New Roman" w:hAnsi="Times New Roman" w:cs="Times New Roman"/>
          <w:sz w:val="21"/>
          <w:szCs w:val="21"/>
        </w:rPr>
      </w:pPr>
      <w:r>
        <w:rPr>
          <w:rFonts w:ascii="Times New Roman" w:hAnsi="Times New Roman" w:cs="Times New Roman"/>
          <w:sz w:val="21"/>
          <w:szCs w:val="21"/>
        </w:rPr>
        <w:t>投标书（附件1）</w:t>
      </w:r>
    </w:p>
    <w:p w14:paraId="40B1323C">
      <w:pPr>
        <w:numPr>
          <w:ilvl w:val="0"/>
          <w:numId w:val="10"/>
        </w:numPr>
        <w:spacing w:line="360" w:lineRule="auto"/>
        <w:rPr>
          <w:rFonts w:ascii="Times New Roman" w:hAnsi="Times New Roman" w:cs="Times New Roman"/>
          <w:sz w:val="21"/>
          <w:szCs w:val="21"/>
        </w:rPr>
      </w:pPr>
      <w:r>
        <w:rPr>
          <w:rFonts w:ascii="Times New Roman" w:hAnsi="Times New Roman" w:cs="Times New Roman"/>
          <w:sz w:val="21"/>
          <w:szCs w:val="21"/>
        </w:rPr>
        <w:t>报价一览表（附件2）</w:t>
      </w:r>
    </w:p>
    <w:p w14:paraId="7DDEB6F4">
      <w:pPr>
        <w:numPr>
          <w:ilvl w:val="0"/>
          <w:numId w:val="10"/>
        </w:numPr>
        <w:spacing w:line="360" w:lineRule="auto"/>
        <w:rPr>
          <w:rFonts w:ascii="Times New Roman" w:hAnsi="Times New Roman" w:cs="Times New Roman"/>
          <w:sz w:val="21"/>
          <w:szCs w:val="21"/>
        </w:rPr>
      </w:pPr>
      <w:r>
        <w:rPr>
          <w:rFonts w:ascii="Times New Roman" w:hAnsi="Times New Roman" w:cs="Times New Roman"/>
          <w:sz w:val="21"/>
          <w:szCs w:val="21"/>
        </w:rPr>
        <w:t>价格明细表（附件3）</w:t>
      </w:r>
    </w:p>
    <w:p w14:paraId="7349B951">
      <w:pPr>
        <w:numPr>
          <w:ilvl w:val="0"/>
          <w:numId w:val="10"/>
        </w:numPr>
        <w:spacing w:line="360" w:lineRule="auto"/>
        <w:rPr>
          <w:rFonts w:ascii="Times New Roman" w:hAnsi="Times New Roman" w:cs="Times New Roman"/>
          <w:sz w:val="21"/>
          <w:szCs w:val="21"/>
        </w:rPr>
      </w:pPr>
      <w:r>
        <w:rPr>
          <w:rFonts w:hint="eastAsia" w:ascii="Times New Roman" w:hAnsi="Times New Roman" w:cs="Times New Roman"/>
          <w:sz w:val="21"/>
          <w:szCs w:val="21"/>
        </w:rPr>
        <w:t>采购需求偏离表</w:t>
      </w:r>
      <w:r>
        <w:rPr>
          <w:rFonts w:ascii="Times New Roman" w:hAnsi="Times New Roman" w:cs="Times New Roman"/>
          <w:sz w:val="21"/>
          <w:szCs w:val="21"/>
        </w:rPr>
        <w:t>（附件4）</w:t>
      </w:r>
    </w:p>
    <w:p w14:paraId="4A1B735A">
      <w:pPr>
        <w:numPr>
          <w:ilvl w:val="0"/>
          <w:numId w:val="10"/>
        </w:numPr>
        <w:spacing w:line="360" w:lineRule="auto"/>
        <w:rPr>
          <w:rFonts w:ascii="Times New Roman" w:hAnsi="Times New Roman" w:cs="Times New Roman"/>
          <w:sz w:val="21"/>
          <w:szCs w:val="21"/>
        </w:rPr>
      </w:pPr>
      <w:r>
        <w:rPr>
          <w:rFonts w:ascii="Times New Roman" w:hAnsi="Times New Roman" w:cs="Times New Roman"/>
          <w:sz w:val="21"/>
          <w:szCs w:val="21"/>
        </w:rPr>
        <w:t>商务条款偏离表（附件5）</w:t>
      </w:r>
    </w:p>
    <w:p w14:paraId="52E15157">
      <w:pPr>
        <w:numPr>
          <w:ilvl w:val="0"/>
          <w:numId w:val="10"/>
        </w:numPr>
        <w:spacing w:line="360" w:lineRule="auto"/>
        <w:rPr>
          <w:rFonts w:ascii="Times New Roman" w:hAnsi="Times New Roman" w:cs="Times New Roman"/>
          <w:sz w:val="21"/>
          <w:szCs w:val="21"/>
        </w:rPr>
      </w:pPr>
      <w:r>
        <w:rPr>
          <w:rFonts w:ascii="Times New Roman" w:hAnsi="Times New Roman" w:cs="Times New Roman"/>
          <w:sz w:val="21"/>
          <w:szCs w:val="21"/>
        </w:rPr>
        <w:t>投标人的资格证明文件（附件6）</w:t>
      </w:r>
    </w:p>
    <w:p w14:paraId="28A2FD39">
      <w:pPr>
        <w:numPr>
          <w:ilvl w:val="0"/>
          <w:numId w:val="10"/>
        </w:numPr>
        <w:spacing w:line="360" w:lineRule="auto"/>
        <w:rPr>
          <w:rFonts w:ascii="Times New Roman" w:hAnsi="Times New Roman" w:cs="Times New Roman"/>
          <w:sz w:val="21"/>
          <w:szCs w:val="21"/>
        </w:rPr>
      </w:pPr>
      <w:r>
        <w:rPr>
          <w:rFonts w:ascii="Times New Roman" w:hAnsi="Times New Roman" w:cs="Times New Roman"/>
          <w:sz w:val="21"/>
          <w:szCs w:val="21"/>
        </w:rPr>
        <w:t>法定代表人授权书（附件7）</w:t>
      </w:r>
    </w:p>
    <w:p w14:paraId="75123C9F">
      <w:pPr>
        <w:numPr>
          <w:ilvl w:val="0"/>
          <w:numId w:val="10"/>
        </w:numPr>
        <w:spacing w:line="360" w:lineRule="auto"/>
        <w:rPr>
          <w:rFonts w:ascii="Times New Roman" w:hAnsi="Times New Roman" w:cs="Times New Roman"/>
          <w:sz w:val="21"/>
          <w:szCs w:val="21"/>
        </w:rPr>
      </w:pPr>
      <w:r>
        <w:rPr>
          <w:rFonts w:ascii="Times New Roman" w:hAnsi="Times New Roman" w:cs="Times New Roman"/>
          <w:sz w:val="21"/>
          <w:szCs w:val="21"/>
        </w:rPr>
        <w:t>投标人基本情况表（附件8）</w:t>
      </w:r>
    </w:p>
    <w:p w14:paraId="08C4BABF">
      <w:pPr>
        <w:numPr>
          <w:ilvl w:val="0"/>
          <w:numId w:val="10"/>
        </w:numPr>
        <w:spacing w:line="360" w:lineRule="auto"/>
        <w:rPr>
          <w:rFonts w:ascii="Times New Roman" w:hAnsi="Times New Roman" w:cs="Times New Roman"/>
          <w:sz w:val="21"/>
          <w:szCs w:val="21"/>
        </w:rPr>
      </w:pPr>
      <w:r>
        <w:rPr>
          <w:rFonts w:hint="eastAsia" w:ascii="Times New Roman" w:hAnsi="Times New Roman" w:cs="Times New Roman"/>
          <w:sz w:val="21"/>
          <w:szCs w:val="21"/>
        </w:rPr>
        <w:t>业绩证明文件（附件9）</w:t>
      </w:r>
    </w:p>
    <w:p w14:paraId="6A1D1D5C">
      <w:pPr>
        <w:numPr>
          <w:ilvl w:val="0"/>
          <w:numId w:val="10"/>
        </w:numPr>
        <w:spacing w:line="360" w:lineRule="auto"/>
        <w:rPr>
          <w:rFonts w:ascii="Times New Roman" w:hAnsi="Times New Roman" w:cs="Times New Roman"/>
          <w:sz w:val="21"/>
          <w:szCs w:val="21"/>
        </w:rPr>
      </w:pPr>
      <w:r>
        <w:rPr>
          <w:rFonts w:hint="eastAsia" w:ascii="Times New Roman" w:hAnsi="Times New Roman" w:cs="Times New Roman"/>
          <w:sz w:val="21"/>
          <w:szCs w:val="21"/>
        </w:rPr>
        <w:t>拟投入本项目的主要人员明细表（附件10）</w:t>
      </w:r>
    </w:p>
    <w:p w14:paraId="00686B3B">
      <w:pPr>
        <w:numPr>
          <w:ilvl w:val="0"/>
          <w:numId w:val="10"/>
        </w:numPr>
        <w:spacing w:line="360" w:lineRule="auto"/>
        <w:rPr>
          <w:rFonts w:ascii="Times New Roman" w:hAnsi="Times New Roman" w:cs="Times New Roman"/>
          <w:sz w:val="21"/>
          <w:szCs w:val="21"/>
        </w:rPr>
      </w:pPr>
      <w:r>
        <w:rPr>
          <w:rFonts w:ascii="Times New Roman" w:hAnsi="Times New Roman" w:cs="Times New Roman"/>
          <w:sz w:val="21"/>
          <w:szCs w:val="21"/>
        </w:rPr>
        <w:t>技术文件（附件11）</w:t>
      </w:r>
    </w:p>
    <w:p w14:paraId="4A2BE09B">
      <w:pPr>
        <w:numPr>
          <w:ilvl w:val="0"/>
          <w:numId w:val="10"/>
        </w:numPr>
        <w:spacing w:line="360" w:lineRule="auto"/>
        <w:rPr>
          <w:rFonts w:ascii="Times New Roman" w:hAnsi="Times New Roman" w:cs="Times New Roman"/>
          <w:sz w:val="21"/>
          <w:szCs w:val="21"/>
        </w:rPr>
      </w:pPr>
      <w:r>
        <w:rPr>
          <w:rFonts w:ascii="Times New Roman" w:hAnsi="Times New Roman" w:cs="Times New Roman"/>
          <w:sz w:val="21"/>
          <w:szCs w:val="21"/>
        </w:rPr>
        <w:t>招标文件要求的和投标人认为必要的其它文件（附件12）</w:t>
      </w:r>
    </w:p>
    <w:p w14:paraId="65272160">
      <w:pPr>
        <w:numPr>
          <w:ilvl w:val="0"/>
          <w:numId w:val="10"/>
        </w:numPr>
        <w:spacing w:line="360" w:lineRule="auto"/>
        <w:rPr>
          <w:rFonts w:ascii="Times New Roman" w:hAnsi="Times New Roman" w:cs="Times New Roman"/>
          <w:sz w:val="21"/>
          <w:szCs w:val="21"/>
        </w:rPr>
      </w:pPr>
      <w:r>
        <w:rPr>
          <w:rFonts w:hint="eastAsia" w:ascii="Times New Roman" w:hAnsi="Times New Roman" w:cs="Times New Roman"/>
          <w:sz w:val="21"/>
          <w:szCs w:val="21"/>
        </w:rPr>
        <w:t>承诺函（附件13）</w:t>
      </w:r>
    </w:p>
    <w:p w14:paraId="611C2C81">
      <w:pPr>
        <w:pStyle w:val="63"/>
        <w:numPr>
          <w:ilvl w:val="1"/>
          <w:numId w:val="8"/>
        </w:numPr>
        <w:spacing w:line="360" w:lineRule="auto"/>
        <w:ind w:firstLineChars="0"/>
        <w:outlineLvl w:val="0"/>
        <w:rPr>
          <w:rFonts w:ascii="Times New Roman" w:hAnsi="Times New Roman" w:cs="Times New Roman"/>
          <w:sz w:val="21"/>
          <w:szCs w:val="21"/>
        </w:rPr>
      </w:pPr>
      <w:bookmarkStart w:id="389" w:name="_Toc13225420"/>
      <w:bookmarkStart w:id="390" w:name="_Toc15386188"/>
      <w:bookmarkStart w:id="391" w:name="_Toc134728843"/>
      <w:bookmarkStart w:id="392" w:name="_Toc406595704"/>
      <w:bookmarkStart w:id="393" w:name="_Toc407612719"/>
      <w:bookmarkStart w:id="394" w:name="_Toc407613088"/>
      <w:bookmarkStart w:id="395" w:name="_Toc164420740"/>
      <w:bookmarkStart w:id="396" w:name="_Toc30728"/>
      <w:bookmarkStart w:id="397" w:name="_Toc535397514"/>
      <w:bookmarkStart w:id="398" w:name="_Toc15340"/>
      <w:r>
        <w:rPr>
          <w:rFonts w:ascii="Times New Roman" w:hAnsi="Times New Roman" w:cs="Times New Roman"/>
          <w:b/>
          <w:sz w:val="21"/>
          <w:szCs w:val="21"/>
        </w:rPr>
        <w:t>投标人应将投标文件装订成册（不允许活页装订，否则该投标文件将予以拒绝）。</w:t>
      </w:r>
      <w:bookmarkEnd w:id="389"/>
      <w:bookmarkEnd w:id="390"/>
      <w:bookmarkEnd w:id="391"/>
      <w:bookmarkEnd w:id="392"/>
      <w:bookmarkEnd w:id="393"/>
      <w:bookmarkEnd w:id="394"/>
      <w:bookmarkEnd w:id="395"/>
      <w:bookmarkEnd w:id="396"/>
      <w:bookmarkEnd w:id="397"/>
      <w:bookmarkEnd w:id="398"/>
    </w:p>
    <w:p w14:paraId="704C1ACC">
      <w:pPr>
        <w:pStyle w:val="63"/>
        <w:numPr>
          <w:ilvl w:val="0"/>
          <w:numId w:val="8"/>
        </w:numPr>
        <w:spacing w:line="360" w:lineRule="auto"/>
        <w:ind w:firstLineChars="0"/>
        <w:outlineLvl w:val="0"/>
        <w:rPr>
          <w:rFonts w:ascii="Times New Roman" w:hAnsi="Times New Roman" w:cs="Times New Roman"/>
          <w:b/>
          <w:bCs/>
          <w:sz w:val="21"/>
          <w:szCs w:val="21"/>
        </w:rPr>
      </w:pPr>
      <w:bookmarkStart w:id="399" w:name="_Toc407612720"/>
      <w:bookmarkStart w:id="400" w:name="_Toc407613089"/>
      <w:bookmarkStart w:id="401" w:name="_Toc4525"/>
      <w:bookmarkStart w:id="402" w:name="_Toc9761"/>
      <w:bookmarkStart w:id="403" w:name="_Toc15386189"/>
      <w:bookmarkStart w:id="404" w:name="_Toc134728844"/>
      <w:bookmarkStart w:id="405" w:name="_Toc13225421"/>
      <w:bookmarkStart w:id="406" w:name="_Toc164420741"/>
      <w:bookmarkStart w:id="407" w:name="_Toc406595705"/>
      <w:bookmarkStart w:id="408" w:name="_Toc535397515"/>
      <w:r>
        <w:rPr>
          <w:rFonts w:ascii="Times New Roman" w:hAnsi="Times New Roman" w:cs="Times New Roman"/>
          <w:b/>
          <w:bCs/>
          <w:sz w:val="21"/>
          <w:szCs w:val="21"/>
        </w:rPr>
        <w:t>投标方案要求</w:t>
      </w:r>
      <w:bookmarkEnd w:id="399"/>
      <w:bookmarkEnd w:id="400"/>
      <w:bookmarkEnd w:id="401"/>
      <w:bookmarkEnd w:id="402"/>
      <w:bookmarkEnd w:id="403"/>
      <w:bookmarkEnd w:id="404"/>
      <w:bookmarkEnd w:id="405"/>
      <w:bookmarkEnd w:id="406"/>
      <w:bookmarkEnd w:id="407"/>
      <w:bookmarkEnd w:id="408"/>
    </w:p>
    <w:p w14:paraId="5258CE02">
      <w:pPr>
        <w:pStyle w:val="63"/>
        <w:numPr>
          <w:ilvl w:val="1"/>
          <w:numId w:val="8"/>
        </w:numPr>
        <w:spacing w:line="360" w:lineRule="auto"/>
        <w:ind w:firstLineChars="0"/>
        <w:outlineLvl w:val="0"/>
        <w:rPr>
          <w:rFonts w:ascii="Times New Roman" w:hAnsi="Times New Roman" w:cs="Times New Roman"/>
          <w:sz w:val="21"/>
          <w:szCs w:val="21"/>
        </w:rPr>
      </w:pPr>
      <w:bookmarkStart w:id="409" w:name="_Toc535397516"/>
      <w:bookmarkStart w:id="410" w:name="_Toc406595706"/>
      <w:bookmarkStart w:id="411" w:name="_Toc15386190"/>
      <w:bookmarkStart w:id="412" w:name="_Toc3239"/>
      <w:bookmarkStart w:id="413" w:name="_Toc407613090"/>
      <w:bookmarkStart w:id="414" w:name="_Toc13225422"/>
      <w:bookmarkStart w:id="415" w:name="_Toc164420742"/>
      <w:bookmarkStart w:id="416" w:name="_Toc407612721"/>
      <w:bookmarkStart w:id="417" w:name="_Toc11874"/>
      <w:bookmarkStart w:id="418" w:name="_Toc134728845"/>
      <w:r>
        <w:rPr>
          <w:rFonts w:ascii="Times New Roman" w:hAnsi="Times New Roman" w:cs="Times New Roman"/>
          <w:sz w:val="21"/>
          <w:szCs w:val="21"/>
        </w:rPr>
        <w:t>投标方案的基本要求：投标人应根据本招标文件提出的具体要求，提出满足要求的投标方案。</w:t>
      </w:r>
      <w:bookmarkEnd w:id="409"/>
      <w:bookmarkEnd w:id="410"/>
      <w:bookmarkEnd w:id="411"/>
      <w:bookmarkEnd w:id="412"/>
      <w:bookmarkEnd w:id="413"/>
      <w:bookmarkEnd w:id="414"/>
      <w:bookmarkEnd w:id="415"/>
      <w:bookmarkEnd w:id="416"/>
      <w:bookmarkEnd w:id="417"/>
      <w:bookmarkEnd w:id="418"/>
    </w:p>
    <w:p w14:paraId="39350DC4">
      <w:pPr>
        <w:pStyle w:val="63"/>
        <w:numPr>
          <w:ilvl w:val="0"/>
          <w:numId w:val="8"/>
        </w:numPr>
        <w:spacing w:line="360" w:lineRule="auto"/>
        <w:ind w:firstLineChars="0"/>
        <w:outlineLvl w:val="0"/>
        <w:rPr>
          <w:rFonts w:ascii="Times New Roman" w:hAnsi="Times New Roman" w:cs="Times New Roman"/>
          <w:b/>
          <w:bCs/>
          <w:sz w:val="21"/>
          <w:szCs w:val="21"/>
        </w:rPr>
      </w:pPr>
      <w:bookmarkStart w:id="419" w:name="_Toc23828"/>
      <w:bookmarkStart w:id="420" w:name="_Toc407613091"/>
      <w:bookmarkStart w:id="421" w:name="_Toc32461"/>
      <w:bookmarkStart w:id="422" w:name="_Toc407612722"/>
      <w:bookmarkStart w:id="423" w:name="_Toc134728846"/>
      <w:bookmarkStart w:id="424" w:name="_Toc164420743"/>
      <w:bookmarkStart w:id="425" w:name="_Toc15386191"/>
      <w:bookmarkStart w:id="426" w:name="_Toc406595707"/>
      <w:bookmarkStart w:id="427" w:name="_Toc535397517"/>
      <w:bookmarkStart w:id="428" w:name="_Toc13225423"/>
      <w:r>
        <w:rPr>
          <w:rFonts w:ascii="Times New Roman" w:hAnsi="Times New Roman" w:cs="Times New Roman"/>
          <w:b/>
          <w:bCs/>
          <w:sz w:val="21"/>
          <w:szCs w:val="21"/>
        </w:rPr>
        <w:t>投标报价</w:t>
      </w:r>
      <w:bookmarkEnd w:id="419"/>
      <w:bookmarkEnd w:id="420"/>
      <w:bookmarkEnd w:id="421"/>
      <w:bookmarkEnd w:id="422"/>
      <w:bookmarkEnd w:id="423"/>
      <w:bookmarkEnd w:id="424"/>
      <w:bookmarkEnd w:id="425"/>
      <w:bookmarkEnd w:id="426"/>
      <w:bookmarkEnd w:id="427"/>
      <w:bookmarkEnd w:id="428"/>
    </w:p>
    <w:p w14:paraId="26133E70">
      <w:pPr>
        <w:pStyle w:val="63"/>
        <w:numPr>
          <w:ilvl w:val="1"/>
          <w:numId w:val="8"/>
        </w:numPr>
        <w:spacing w:line="360" w:lineRule="auto"/>
        <w:ind w:firstLineChars="0"/>
        <w:outlineLvl w:val="0"/>
        <w:rPr>
          <w:rFonts w:ascii="Times New Roman" w:hAnsi="Times New Roman" w:cs="Times New Roman"/>
          <w:sz w:val="21"/>
          <w:szCs w:val="21"/>
        </w:rPr>
      </w:pPr>
      <w:bookmarkStart w:id="429" w:name="_Toc407612723"/>
      <w:bookmarkStart w:id="430" w:name="_Toc407613092"/>
      <w:bookmarkStart w:id="431" w:name="_Toc15386192"/>
      <w:bookmarkStart w:id="432" w:name="_Toc134728847"/>
      <w:bookmarkStart w:id="433" w:name="_Toc406595708"/>
      <w:bookmarkStart w:id="434" w:name="_Toc164420744"/>
      <w:bookmarkStart w:id="435" w:name="_Toc535397518"/>
      <w:bookmarkStart w:id="436" w:name="_Toc13225424"/>
      <w:bookmarkStart w:id="437" w:name="_Toc17797"/>
      <w:bookmarkStart w:id="438" w:name="_Toc12190"/>
      <w:r>
        <w:rPr>
          <w:rFonts w:ascii="Times New Roman" w:hAnsi="Times New Roman" w:cs="Times New Roman"/>
          <w:sz w:val="21"/>
          <w:szCs w:val="21"/>
        </w:rPr>
        <w:t>投标报价为</w:t>
      </w:r>
      <w:r>
        <w:rPr>
          <w:rFonts w:hint="eastAsia" w:ascii="Times New Roman" w:hAnsi="Times New Roman" w:cs="Times New Roman"/>
          <w:sz w:val="21"/>
          <w:szCs w:val="21"/>
        </w:rPr>
        <w:t>合同签订价格</w:t>
      </w:r>
      <w:r>
        <w:rPr>
          <w:rFonts w:ascii="Times New Roman" w:hAnsi="Times New Roman" w:cs="Times New Roman"/>
          <w:sz w:val="21"/>
          <w:szCs w:val="21"/>
        </w:rPr>
        <w:t>，包括完成招标内容相关技术服务等所有费用，还包括按照法律法规应交的全部税费。</w:t>
      </w:r>
      <w:bookmarkEnd w:id="429"/>
      <w:bookmarkEnd w:id="430"/>
      <w:bookmarkEnd w:id="431"/>
      <w:bookmarkEnd w:id="432"/>
      <w:bookmarkEnd w:id="433"/>
      <w:bookmarkEnd w:id="434"/>
      <w:bookmarkEnd w:id="435"/>
      <w:bookmarkEnd w:id="436"/>
      <w:r>
        <w:rPr>
          <w:rFonts w:hint="eastAsia" w:ascii="Times New Roman" w:hAnsi="Times New Roman" w:cs="Times New Roman"/>
          <w:sz w:val="21"/>
          <w:szCs w:val="21"/>
        </w:rPr>
        <w:t>投标人的投标报价应遵守《中华人民共和国价格法》。</w:t>
      </w:r>
      <w:bookmarkEnd w:id="437"/>
      <w:bookmarkEnd w:id="438"/>
    </w:p>
    <w:p w14:paraId="255A218D">
      <w:pPr>
        <w:pStyle w:val="63"/>
        <w:numPr>
          <w:ilvl w:val="1"/>
          <w:numId w:val="8"/>
        </w:numPr>
        <w:spacing w:line="360" w:lineRule="auto"/>
        <w:ind w:firstLineChars="0"/>
        <w:outlineLvl w:val="0"/>
        <w:rPr>
          <w:rFonts w:ascii="Times New Roman" w:hAnsi="Times New Roman" w:cs="Times New Roman"/>
          <w:sz w:val="21"/>
          <w:szCs w:val="21"/>
        </w:rPr>
      </w:pPr>
      <w:bookmarkStart w:id="439" w:name="_Toc3581"/>
      <w:bookmarkStart w:id="440" w:name="_Toc164420745"/>
      <w:bookmarkStart w:id="441" w:name="_Toc13225425"/>
      <w:bookmarkStart w:id="442" w:name="_Toc15386193"/>
      <w:bookmarkStart w:id="443" w:name="_Toc134728848"/>
      <w:bookmarkStart w:id="444" w:name="_Toc406595709"/>
      <w:bookmarkStart w:id="445" w:name="_Toc535397519"/>
      <w:bookmarkStart w:id="446" w:name="_Toc407613093"/>
      <w:bookmarkStart w:id="447" w:name="_Toc407612724"/>
      <w:bookmarkStart w:id="448" w:name="_Toc13792"/>
      <w:r>
        <w:rPr>
          <w:rFonts w:ascii="Times New Roman" w:hAnsi="Times New Roman" w:cs="Times New Roman"/>
          <w:sz w:val="21"/>
          <w:szCs w:val="21"/>
        </w:rPr>
        <w:t>投标人应按招标文件中规定的“报价一览表”（附件2）格式，以招标内容为基础提出投标报价。</w:t>
      </w:r>
      <w:bookmarkEnd w:id="439"/>
      <w:bookmarkEnd w:id="440"/>
      <w:bookmarkEnd w:id="441"/>
      <w:bookmarkEnd w:id="442"/>
      <w:bookmarkEnd w:id="443"/>
      <w:bookmarkEnd w:id="444"/>
      <w:bookmarkEnd w:id="445"/>
      <w:bookmarkEnd w:id="446"/>
      <w:bookmarkEnd w:id="447"/>
      <w:bookmarkEnd w:id="448"/>
    </w:p>
    <w:p w14:paraId="17189979">
      <w:pPr>
        <w:pStyle w:val="63"/>
        <w:numPr>
          <w:ilvl w:val="1"/>
          <w:numId w:val="8"/>
        </w:numPr>
        <w:spacing w:line="360" w:lineRule="auto"/>
        <w:ind w:firstLineChars="0"/>
        <w:outlineLvl w:val="0"/>
        <w:rPr>
          <w:rFonts w:ascii="Times New Roman" w:hAnsi="Times New Roman" w:cs="Times New Roman"/>
          <w:sz w:val="21"/>
          <w:szCs w:val="21"/>
        </w:rPr>
      </w:pPr>
      <w:bookmarkStart w:id="449" w:name="_Toc15386194"/>
      <w:bookmarkStart w:id="450" w:name="_Toc407612725"/>
      <w:bookmarkStart w:id="451" w:name="_Toc16995"/>
      <w:bookmarkStart w:id="452" w:name="_Toc535397520"/>
      <w:bookmarkStart w:id="453" w:name="_Toc13225426"/>
      <w:bookmarkStart w:id="454" w:name="_Toc164420746"/>
      <w:bookmarkStart w:id="455" w:name="_Toc134728849"/>
      <w:bookmarkStart w:id="456" w:name="_Toc407613094"/>
      <w:bookmarkStart w:id="457" w:name="_Toc7206"/>
      <w:bookmarkStart w:id="458" w:name="_Toc406595710"/>
      <w:r>
        <w:rPr>
          <w:rFonts w:ascii="Times New Roman" w:hAnsi="Times New Roman" w:cs="Times New Roman"/>
          <w:sz w:val="21"/>
          <w:szCs w:val="21"/>
        </w:rPr>
        <w:t>投标人应参考“价格明细表”（附件3）并在“报价一览表”中响应</w:t>
      </w:r>
      <w:r>
        <w:rPr>
          <w:rFonts w:ascii="Times New Roman" w:hAnsi="Times New Roman" w:cs="Times New Roman"/>
          <w:bCs/>
          <w:sz w:val="21"/>
          <w:szCs w:val="21"/>
        </w:rPr>
        <w:t>。</w:t>
      </w:r>
      <w:bookmarkEnd w:id="449"/>
      <w:bookmarkEnd w:id="450"/>
      <w:bookmarkEnd w:id="451"/>
      <w:bookmarkEnd w:id="452"/>
      <w:bookmarkEnd w:id="453"/>
      <w:bookmarkEnd w:id="454"/>
      <w:bookmarkEnd w:id="455"/>
      <w:bookmarkEnd w:id="456"/>
      <w:bookmarkEnd w:id="457"/>
      <w:bookmarkEnd w:id="458"/>
    </w:p>
    <w:p w14:paraId="2101C3D0">
      <w:pPr>
        <w:pStyle w:val="63"/>
        <w:numPr>
          <w:ilvl w:val="1"/>
          <w:numId w:val="8"/>
        </w:numPr>
        <w:spacing w:line="360" w:lineRule="auto"/>
        <w:ind w:firstLineChars="0"/>
        <w:outlineLvl w:val="0"/>
        <w:rPr>
          <w:rFonts w:ascii="Times New Roman" w:hAnsi="Times New Roman" w:cs="Times New Roman"/>
          <w:sz w:val="21"/>
          <w:szCs w:val="21"/>
        </w:rPr>
      </w:pPr>
      <w:bookmarkStart w:id="459" w:name="_Toc563"/>
      <w:bookmarkStart w:id="460" w:name="_Toc13225427"/>
      <w:bookmarkStart w:id="461" w:name="_Toc15386195"/>
      <w:bookmarkStart w:id="462" w:name="_Toc407612726"/>
      <w:bookmarkStart w:id="463" w:name="_Toc164420747"/>
      <w:bookmarkStart w:id="464" w:name="_Toc407613095"/>
      <w:bookmarkStart w:id="465" w:name="_Toc406595711"/>
      <w:bookmarkStart w:id="466" w:name="_Toc134728850"/>
      <w:bookmarkStart w:id="467" w:name="_Toc535397521"/>
      <w:bookmarkStart w:id="468" w:name="_Toc29860"/>
      <w:r>
        <w:rPr>
          <w:rFonts w:ascii="Times New Roman" w:hAnsi="Times New Roman" w:cs="Times New Roman"/>
          <w:sz w:val="21"/>
          <w:szCs w:val="21"/>
        </w:rPr>
        <w:t>投标人按上述13.3款要求对“价格明细表”进行响应，不限制招标人以其它方式签订合同的权力。</w:t>
      </w:r>
      <w:bookmarkEnd w:id="459"/>
      <w:bookmarkEnd w:id="460"/>
      <w:bookmarkEnd w:id="461"/>
      <w:bookmarkEnd w:id="462"/>
      <w:bookmarkEnd w:id="463"/>
      <w:bookmarkEnd w:id="464"/>
      <w:bookmarkEnd w:id="465"/>
      <w:bookmarkEnd w:id="466"/>
      <w:bookmarkEnd w:id="467"/>
      <w:bookmarkEnd w:id="468"/>
    </w:p>
    <w:p w14:paraId="015DD655">
      <w:pPr>
        <w:pStyle w:val="63"/>
        <w:numPr>
          <w:ilvl w:val="1"/>
          <w:numId w:val="8"/>
        </w:numPr>
        <w:spacing w:line="360" w:lineRule="auto"/>
        <w:ind w:firstLineChars="0"/>
        <w:outlineLvl w:val="0"/>
        <w:rPr>
          <w:rFonts w:ascii="Times New Roman" w:hAnsi="Times New Roman" w:cs="Times New Roman"/>
          <w:sz w:val="21"/>
          <w:szCs w:val="21"/>
        </w:rPr>
      </w:pPr>
      <w:bookmarkStart w:id="469" w:name="_Toc407613096"/>
      <w:bookmarkStart w:id="470" w:name="_Toc15386196"/>
      <w:bookmarkStart w:id="471" w:name="_Toc13225428"/>
      <w:bookmarkStart w:id="472" w:name="_Toc406595712"/>
      <w:bookmarkStart w:id="473" w:name="_Toc22634"/>
      <w:bookmarkStart w:id="474" w:name="_Toc407612727"/>
      <w:bookmarkStart w:id="475" w:name="_Toc9708"/>
      <w:bookmarkStart w:id="476" w:name="_Toc134728851"/>
      <w:bookmarkStart w:id="477" w:name="_Toc164420748"/>
      <w:bookmarkStart w:id="478" w:name="_Toc535397522"/>
      <w:r>
        <w:rPr>
          <w:rFonts w:ascii="Times New Roman" w:hAnsi="Times New Roman" w:cs="Times New Roman"/>
          <w:sz w:val="21"/>
          <w:szCs w:val="21"/>
        </w:rPr>
        <w:t>投标人所报的各分项投标单价在合同履行过程中是固定不变的，不得以任何理由予以变更。任何包含价格调整要求的投标将予以拒绝。</w:t>
      </w:r>
      <w:bookmarkEnd w:id="469"/>
      <w:bookmarkEnd w:id="470"/>
      <w:bookmarkEnd w:id="471"/>
      <w:bookmarkEnd w:id="472"/>
      <w:bookmarkEnd w:id="473"/>
      <w:bookmarkEnd w:id="474"/>
      <w:bookmarkEnd w:id="475"/>
      <w:bookmarkEnd w:id="476"/>
      <w:bookmarkEnd w:id="477"/>
      <w:bookmarkEnd w:id="478"/>
    </w:p>
    <w:p w14:paraId="4F5A263B">
      <w:pPr>
        <w:pStyle w:val="63"/>
        <w:numPr>
          <w:ilvl w:val="1"/>
          <w:numId w:val="8"/>
        </w:numPr>
        <w:spacing w:line="360" w:lineRule="auto"/>
        <w:ind w:firstLineChars="0"/>
        <w:outlineLvl w:val="0"/>
        <w:rPr>
          <w:rFonts w:ascii="Times New Roman" w:hAnsi="Times New Roman" w:cs="Times New Roman"/>
          <w:sz w:val="21"/>
          <w:szCs w:val="21"/>
        </w:rPr>
      </w:pPr>
      <w:bookmarkStart w:id="479" w:name="_Toc15386197"/>
      <w:bookmarkStart w:id="480" w:name="_Toc20162"/>
      <w:bookmarkStart w:id="481" w:name="_Toc535397523"/>
      <w:bookmarkStart w:id="482" w:name="_Toc13225429"/>
      <w:bookmarkStart w:id="483" w:name="_Toc407613097"/>
      <w:bookmarkStart w:id="484" w:name="_Toc134728852"/>
      <w:bookmarkStart w:id="485" w:name="_Toc164420749"/>
      <w:bookmarkStart w:id="486" w:name="_Toc407612728"/>
      <w:bookmarkStart w:id="487" w:name="_Toc3007"/>
      <w:bookmarkStart w:id="488" w:name="_Toc406595713"/>
      <w:r>
        <w:rPr>
          <w:rFonts w:ascii="Times New Roman" w:hAnsi="Times New Roman" w:cs="Times New Roman"/>
          <w:bCs/>
          <w:sz w:val="21"/>
          <w:szCs w:val="21"/>
        </w:rPr>
        <w:t>除非招标文件另有说明，</w:t>
      </w:r>
      <w:r>
        <w:rPr>
          <w:rFonts w:ascii="Times New Roman" w:hAnsi="Times New Roman" w:cs="Times New Roman"/>
          <w:sz w:val="21"/>
          <w:szCs w:val="21"/>
        </w:rPr>
        <w:t>每个投标人只能有一个投标方案和报价，否则将予以拒绝。</w:t>
      </w:r>
      <w:bookmarkEnd w:id="479"/>
      <w:bookmarkEnd w:id="480"/>
      <w:bookmarkEnd w:id="481"/>
      <w:bookmarkEnd w:id="482"/>
      <w:bookmarkEnd w:id="483"/>
      <w:bookmarkEnd w:id="484"/>
      <w:bookmarkEnd w:id="485"/>
      <w:bookmarkEnd w:id="486"/>
      <w:bookmarkEnd w:id="487"/>
      <w:bookmarkEnd w:id="488"/>
    </w:p>
    <w:p w14:paraId="05791B3C">
      <w:pPr>
        <w:pStyle w:val="63"/>
        <w:numPr>
          <w:ilvl w:val="0"/>
          <w:numId w:val="8"/>
        </w:numPr>
        <w:spacing w:line="360" w:lineRule="auto"/>
        <w:ind w:firstLineChars="0"/>
        <w:outlineLvl w:val="0"/>
        <w:rPr>
          <w:rFonts w:ascii="Times New Roman" w:hAnsi="Times New Roman" w:cs="Times New Roman"/>
          <w:b/>
          <w:bCs/>
          <w:sz w:val="21"/>
          <w:szCs w:val="21"/>
        </w:rPr>
      </w:pPr>
      <w:bookmarkStart w:id="489" w:name="_Toc12149"/>
      <w:bookmarkStart w:id="490" w:name="_Toc535397524"/>
      <w:bookmarkStart w:id="491" w:name="_Toc164420750"/>
      <w:bookmarkStart w:id="492" w:name="_Toc406595714"/>
      <w:bookmarkStart w:id="493" w:name="_Toc4847"/>
      <w:bookmarkStart w:id="494" w:name="_Toc15386198"/>
      <w:bookmarkStart w:id="495" w:name="_Toc13225430"/>
      <w:bookmarkStart w:id="496" w:name="_Toc407613098"/>
      <w:bookmarkStart w:id="497" w:name="_Toc134728853"/>
      <w:bookmarkStart w:id="498" w:name="_Toc407612729"/>
      <w:r>
        <w:rPr>
          <w:rFonts w:ascii="Times New Roman" w:hAnsi="Times New Roman" w:cs="Times New Roman"/>
          <w:b/>
          <w:bCs/>
          <w:sz w:val="21"/>
          <w:szCs w:val="21"/>
        </w:rPr>
        <w:t>投标货币</w:t>
      </w:r>
      <w:bookmarkEnd w:id="489"/>
      <w:bookmarkEnd w:id="490"/>
      <w:bookmarkEnd w:id="491"/>
      <w:bookmarkEnd w:id="492"/>
      <w:bookmarkEnd w:id="493"/>
      <w:bookmarkEnd w:id="494"/>
      <w:bookmarkEnd w:id="495"/>
      <w:bookmarkEnd w:id="496"/>
      <w:bookmarkEnd w:id="497"/>
      <w:bookmarkEnd w:id="498"/>
    </w:p>
    <w:p w14:paraId="237CFA9B">
      <w:pPr>
        <w:pStyle w:val="63"/>
        <w:numPr>
          <w:ilvl w:val="1"/>
          <w:numId w:val="8"/>
        </w:numPr>
        <w:spacing w:line="360" w:lineRule="auto"/>
        <w:ind w:firstLineChars="0"/>
        <w:outlineLvl w:val="0"/>
        <w:rPr>
          <w:rFonts w:ascii="Times New Roman" w:hAnsi="Times New Roman" w:cs="Times New Roman"/>
          <w:sz w:val="21"/>
          <w:szCs w:val="21"/>
        </w:rPr>
      </w:pPr>
      <w:bookmarkStart w:id="499" w:name="_Toc406595715"/>
      <w:bookmarkStart w:id="500" w:name="_Toc15386199"/>
      <w:bookmarkStart w:id="501" w:name="_Toc23102"/>
      <w:bookmarkStart w:id="502" w:name="_Toc407613099"/>
      <w:bookmarkStart w:id="503" w:name="_Toc134728854"/>
      <w:bookmarkStart w:id="504" w:name="_Toc164420751"/>
      <w:bookmarkStart w:id="505" w:name="_Toc13225431"/>
      <w:bookmarkStart w:id="506" w:name="_Toc15922"/>
      <w:bookmarkStart w:id="507" w:name="_Toc407612730"/>
      <w:bookmarkStart w:id="508" w:name="_Toc535397525"/>
      <w:r>
        <w:rPr>
          <w:rFonts w:ascii="Times New Roman" w:hAnsi="Times New Roman" w:cs="Times New Roman"/>
          <w:sz w:val="21"/>
          <w:szCs w:val="21"/>
        </w:rPr>
        <w:t>投标人需用人民币报价。</w:t>
      </w:r>
      <w:bookmarkEnd w:id="499"/>
      <w:bookmarkEnd w:id="500"/>
      <w:bookmarkEnd w:id="501"/>
      <w:bookmarkEnd w:id="502"/>
      <w:bookmarkEnd w:id="503"/>
      <w:bookmarkEnd w:id="504"/>
      <w:bookmarkEnd w:id="505"/>
      <w:bookmarkEnd w:id="506"/>
      <w:bookmarkEnd w:id="507"/>
      <w:bookmarkEnd w:id="508"/>
    </w:p>
    <w:p w14:paraId="22BD720D">
      <w:pPr>
        <w:pStyle w:val="63"/>
        <w:numPr>
          <w:ilvl w:val="0"/>
          <w:numId w:val="8"/>
        </w:numPr>
        <w:spacing w:line="360" w:lineRule="auto"/>
        <w:ind w:firstLineChars="0"/>
        <w:outlineLvl w:val="0"/>
        <w:rPr>
          <w:rFonts w:ascii="Times New Roman" w:hAnsi="Times New Roman" w:cs="Times New Roman"/>
          <w:b/>
          <w:bCs/>
          <w:sz w:val="21"/>
          <w:szCs w:val="21"/>
        </w:rPr>
      </w:pPr>
      <w:bookmarkStart w:id="509" w:name="_Toc27777"/>
      <w:bookmarkStart w:id="510" w:name="_Toc164420752"/>
      <w:bookmarkStart w:id="511" w:name="_Toc535397526"/>
      <w:bookmarkStart w:id="512" w:name="_Toc15386200"/>
      <w:bookmarkStart w:id="513" w:name="_Toc23888"/>
      <w:bookmarkStart w:id="514" w:name="_Toc406595716"/>
      <w:bookmarkStart w:id="515" w:name="_Toc407612731"/>
      <w:bookmarkStart w:id="516" w:name="_Toc13225432"/>
      <w:bookmarkStart w:id="517" w:name="_Toc134728855"/>
      <w:bookmarkStart w:id="518" w:name="_Toc407613100"/>
      <w:r>
        <w:rPr>
          <w:rFonts w:ascii="Times New Roman" w:hAnsi="Times New Roman" w:cs="Times New Roman"/>
          <w:b/>
          <w:bCs/>
          <w:sz w:val="21"/>
          <w:szCs w:val="21"/>
        </w:rPr>
        <w:t>投标人资格的证明文件和商务偏离</w:t>
      </w:r>
      <w:bookmarkEnd w:id="509"/>
      <w:bookmarkEnd w:id="510"/>
      <w:bookmarkEnd w:id="511"/>
      <w:bookmarkEnd w:id="512"/>
      <w:bookmarkEnd w:id="513"/>
      <w:bookmarkEnd w:id="514"/>
      <w:bookmarkEnd w:id="515"/>
      <w:bookmarkEnd w:id="516"/>
      <w:bookmarkEnd w:id="517"/>
      <w:bookmarkEnd w:id="518"/>
    </w:p>
    <w:p w14:paraId="64D980FF">
      <w:pPr>
        <w:pStyle w:val="63"/>
        <w:numPr>
          <w:ilvl w:val="1"/>
          <w:numId w:val="8"/>
        </w:numPr>
        <w:spacing w:line="360" w:lineRule="auto"/>
        <w:ind w:firstLineChars="0"/>
        <w:outlineLvl w:val="0"/>
        <w:rPr>
          <w:rFonts w:ascii="Times New Roman" w:hAnsi="Times New Roman" w:cs="Times New Roman"/>
          <w:sz w:val="21"/>
          <w:szCs w:val="21"/>
        </w:rPr>
      </w:pPr>
      <w:bookmarkStart w:id="519" w:name="_Toc13225433"/>
      <w:bookmarkStart w:id="520" w:name="_Toc26185"/>
      <w:bookmarkStart w:id="521" w:name="_Toc164420753"/>
      <w:bookmarkStart w:id="522" w:name="_Toc21013"/>
      <w:bookmarkStart w:id="523" w:name="_Toc406595717"/>
      <w:bookmarkStart w:id="524" w:name="_Toc15386201"/>
      <w:bookmarkStart w:id="525" w:name="_Toc407613101"/>
      <w:bookmarkStart w:id="526" w:name="_Toc407612732"/>
      <w:bookmarkStart w:id="527" w:name="_Toc134728856"/>
      <w:bookmarkStart w:id="528" w:name="_Toc535397527"/>
      <w:r>
        <w:rPr>
          <w:rFonts w:ascii="Times New Roman" w:hAnsi="Times New Roman" w:cs="Times New Roman"/>
          <w:sz w:val="21"/>
          <w:szCs w:val="21"/>
        </w:rPr>
        <w:t>投标人应提交证明其有资格参加投标和中标后有能力履行合同的文件（附件6）,作为投标文件的重要组成部分。</w:t>
      </w:r>
      <w:bookmarkEnd w:id="519"/>
      <w:bookmarkEnd w:id="520"/>
      <w:bookmarkEnd w:id="521"/>
      <w:bookmarkEnd w:id="522"/>
      <w:bookmarkEnd w:id="523"/>
      <w:bookmarkEnd w:id="524"/>
      <w:bookmarkEnd w:id="525"/>
      <w:bookmarkEnd w:id="526"/>
      <w:bookmarkEnd w:id="527"/>
      <w:bookmarkEnd w:id="528"/>
    </w:p>
    <w:p w14:paraId="5AF791D1">
      <w:pPr>
        <w:pStyle w:val="63"/>
        <w:numPr>
          <w:ilvl w:val="2"/>
          <w:numId w:val="8"/>
        </w:numPr>
        <w:spacing w:line="360" w:lineRule="auto"/>
        <w:ind w:firstLineChars="0"/>
        <w:outlineLvl w:val="0"/>
        <w:rPr>
          <w:rFonts w:ascii="Times New Roman" w:hAnsi="Times New Roman" w:cs="Times New Roman"/>
          <w:sz w:val="21"/>
          <w:szCs w:val="21"/>
        </w:rPr>
      </w:pPr>
      <w:bookmarkStart w:id="529" w:name="_Toc164420754"/>
      <w:bookmarkStart w:id="530" w:name="_Toc134728857"/>
      <w:bookmarkStart w:id="531" w:name="_Toc15386202"/>
      <w:bookmarkStart w:id="532" w:name="_Toc407613102"/>
      <w:bookmarkStart w:id="533" w:name="_Toc3438"/>
      <w:bookmarkStart w:id="534" w:name="_Toc535397528"/>
      <w:bookmarkStart w:id="535" w:name="_Toc406595718"/>
      <w:bookmarkStart w:id="536" w:name="_Toc13225434"/>
      <w:bookmarkStart w:id="537" w:name="_Toc3422"/>
      <w:bookmarkStart w:id="538" w:name="_Toc407612733"/>
      <w:r>
        <w:rPr>
          <w:rFonts w:ascii="Times New Roman" w:hAnsi="Times New Roman" w:cs="Times New Roman"/>
          <w:sz w:val="21"/>
          <w:szCs w:val="21"/>
        </w:rPr>
        <w:t>投标人必须具备履行招标文件中“合同主要条款”和“服务需求及要求”所需的技术、安装调试能力以及相应的财务能力。</w:t>
      </w:r>
      <w:bookmarkEnd w:id="529"/>
      <w:bookmarkEnd w:id="530"/>
      <w:bookmarkEnd w:id="531"/>
      <w:bookmarkEnd w:id="532"/>
      <w:bookmarkEnd w:id="533"/>
      <w:bookmarkEnd w:id="534"/>
      <w:bookmarkEnd w:id="535"/>
      <w:bookmarkEnd w:id="536"/>
      <w:bookmarkEnd w:id="537"/>
      <w:bookmarkEnd w:id="538"/>
    </w:p>
    <w:p w14:paraId="19605D31">
      <w:pPr>
        <w:pStyle w:val="63"/>
        <w:numPr>
          <w:ilvl w:val="2"/>
          <w:numId w:val="8"/>
        </w:numPr>
        <w:spacing w:line="360" w:lineRule="auto"/>
        <w:ind w:firstLineChars="0"/>
        <w:outlineLvl w:val="0"/>
        <w:rPr>
          <w:rFonts w:ascii="Times New Roman" w:hAnsi="Times New Roman" w:cs="Times New Roman"/>
          <w:sz w:val="21"/>
          <w:szCs w:val="21"/>
        </w:rPr>
      </w:pPr>
      <w:bookmarkStart w:id="539" w:name="_Toc13225435"/>
      <w:bookmarkStart w:id="540" w:name="_Toc134728858"/>
      <w:bookmarkStart w:id="541" w:name="_Toc407613103"/>
      <w:bookmarkStart w:id="542" w:name="_Toc15386203"/>
      <w:bookmarkStart w:id="543" w:name="_Toc164420755"/>
      <w:bookmarkStart w:id="544" w:name="_Toc535397529"/>
      <w:bookmarkStart w:id="545" w:name="_Toc407612734"/>
      <w:bookmarkStart w:id="546" w:name="_Toc5015"/>
      <w:bookmarkStart w:id="547" w:name="_Toc19667"/>
      <w:bookmarkStart w:id="548" w:name="_Toc406595719"/>
      <w:r>
        <w:rPr>
          <w:rFonts w:ascii="Times New Roman" w:hAnsi="Times New Roman" w:cs="Times New Roman"/>
          <w:sz w:val="21"/>
          <w:szCs w:val="21"/>
        </w:rPr>
        <w:t>投标人应有能力履行招标文件中“合同主要条款”和“服务需求及要求”所规定的由投标人提供的设备维护、技术支持和服务以及备件供应等的义务。</w:t>
      </w:r>
      <w:bookmarkEnd w:id="539"/>
      <w:bookmarkEnd w:id="540"/>
      <w:bookmarkEnd w:id="541"/>
      <w:bookmarkEnd w:id="542"/>
      <w:bookmarkEnd w:id="543"/>
      <w:bookmarkEnd w:id="544"/>
      <w:bookmarkEnd w:id="545"/>
      <w:bookmarkEnd w:id="546"/>
      <w:bookmarkEnd w:id="547"/>
      <w:bookmarkEnd w:id="548"/>
    </w:p>
    <w:p w14:paraId="193E74CB">
      <w:pPr>
        <w:pStyle w:val="63"/>
        <w:numPr>
          <w:ilvl w:val="1"/>
          <w:numId w:val="8"/>
        </w:numPr>
        <w:spacing w:line="360" w:lineRule="auto"/>
        <w:ind w:firstLineChars="0"/>
        <w:outlineLvl w:val="0"/>
        <w:rPr>
          <w:rFonts w:ascii="Times New Roman" w:hAnsi="Times New Roman" w:cs="Times New Roman"/>
          <w:sz w:val="21"/>
          <w:szCs w:val="21"/>
        </w:rPr>
      </w:pPr>
      <w:bookmarkStart w:id="549" w:name="_Toc134728859"/>
      <w:bookmarkStart w:id="550" w:name="_Toc407613104"/>
      <w:bookmarkStart w:id="551" w:name="_Toc164420756"/>
      <w:bookmarkStart w:id="552" w:name="_Toc535397530"/>
      <w:bookmarkStart w:id="553" w:name="_Toc406595720"/>
      <w:bookmarkStart w:id="554" w:name="_Toc15386204"/>
      <w:bookmarkStart w:id="555" w:name="_Toc9012"/>
      <w:bookmarkStart w:id="556" w:name="_Toc16458"/>
      <w:bookmarkStart w:id="557" w:name="_Toc407612735"/>
      <w:bookmarkStart w:id="558" w:name="_Toc13225436"/>
      <w:r>
        <w:rPr>
          <w:rFonts w:ascii="Times New Roman" w:hAnsi="Times New Roman" w:cs="Times New Roman"/>
          <w:sz w:val="21"/>
          <w:szCs w:val="21"/>
        </w:rPr>
        <w:t>投标人应对本招标文件商务条款的异议逐条提出，并填写商务条款偏离表（见附件5）。</w:t>
      </w:r>
      <w:bookmarkEnd w:id="549"/>
      <w:bookmarkEnd w:id="550"/>
      <w:bookmarkEnd w:id="551"/>
      <w:bookmarkEnd w:id="552"/>
      <w:bookmarkEnd w:id="553"/>
      <w:bookmarkEnd w:id="554"/>
      <w:bookmarkEnd w:id="555"/>
      <w:bookmarkEnd w:id="556"/>
      <w:bookmarkEnd w:id="557"/>
      <w:bookmarkEnd w:id="558"/>
    </w:p>
    <w:p w14:paraId="56A1CBD6">
      <w:pPr>
        <w:pStyle w:val="63"/>
        <w:numPr>
          <w:ilvl w:val="0"/>
          <w:numId w:val="8"/>
        </w:numPr>
        <w:spacing w:line="360" w:lineRule="auto"/>
        <w:ind w:firstLineChars="0"/>
        <w:outlineLvl w:val="0"/>
        <w:rPr>
          <w:rFonts w:ascii="Times New Roman" w:hAnsi="Times New Roman" w:cs="Times New Roman"/>
          <w:b/>
          <w:bCs/>
          <w:sz w:val="21"/>
          <w:szCs w:val="21"/>
        </w:rPr>
      </w:pPr>
      <w:bookmarkStart w:id="559" w:name="_Toc8338"/>
      <w:bookmarkStart w:id="560" w:name="_Toc407613105"/>
      <w:bookmarkStart w:id="561" w:name="_Toc28167"/>
      <w:bookmarkStart w:id="562" w:name="_Toc406595721"/>
      <w:bookmarkStart w:id="563" w:name="_Toc134728860"/>
      <w:bookmarkStart w:id="564" w:name="_Toc164420757"/>
      <w:bookmarkStart w:id="565" w:name="_Toc535397531"/>
      <w:bookmarkStart w:id="566" w:name="_Toc15386205"/>
      <w:bookmarkStart w:id="567" w:name="_Toc13225437"/>
      <w:bookmarkStart w:id="568" w:name="_Toc407612736"/>
      <w:r>
        <w:rPr>
          <w:rFonts w:ascii="Times New Roman" w:hAnsi="Times New Roman" w:cs="Times New Roman"/>
          <w:b/>
          <w:bCs/>
          <w:sz w:val="21"/>
          <w:szCs w:val="21"/>
        </w:rPr>
        <w:t>证明投标货物等符合招标文件规定的文件（技术文件）</w:t>
      </w:r>
      <w:bookmarkEnd w:id="559"/>
      <w:bookmarkEnd w:id="560"/>
      <w:bookmarkEnd w:id="561"/>
      <w:bookmarkEnd w:id="562"/>
      <w:bookmarkEnd w:id="563"/>
      <w:bookmarkEnd w:id="564"/>
      <w:bookmarkEnd w:id="565"/>
      <w:bookmarkEnd w:id="566"/>
      <w:bookmarkEnd w:id="567"/>
      <w:bookmarkEnd w:id="568"/>
    </w:p>
    <w:p w14:paraId="26AF6D8C">
      <w:pPr>
        <w:pStyle w:val="63"/>
        <w:numPr>
          <w:ilvl w:val="1"/>
          <w:numId w:val="8"/>
        </w:numPr>
        <w:spacing w:line="360" w:lineRule="auto"/>
        <w:ind w:firstLineChars="0"/>
        <w:outlineLvl w:val="0"/>
        <w:rPr>
          <w:rFonts w:ascii="Times New Roman" w:hAnsi="Times New Roman" w:cs="Times New Roman"/>
          <w:sz w:val="21"/>
          <w:szCs w:val="21"/>
        </w:rPr>
      </w:pPr>
      <w:bookmarkStart w:id="569" w:name="_Toc16574"/>
      <w:bookmarkStart w:id="570" w:name="_Toc7972"/>
      <w:bookmarkStart w:id="571" w:name="_Toc164420758"/>
      <w:bookmarkStart w:id="572" w:name="_Toc535397532"/>
      <w:bookmarkStart w:id="573" w:name="_Toc407612737"/>
      <w:bookmarkStart w:id="574" w:name="_Toc15386206"/>
      <w:bookmarkStart w:id="575" w:name="_Toc134728861"/>
      <w:bookmarkStart w:id="576" w:name="_Toc406595722"/>
      <w:bookmarkStart w:id="577" w:name="_Toc407613106"/>
      <w:bookmarkStart w:id="578" w:name="_Toc13225438"/>
      <w:r>
        <w:rPr>
          <w:rFonts w:ascii="Times New Roman" w:hAnsi="Times New Roman" w:cs="Times New Roman"/>
          <w:sz w:val="21"/>
          <w:szCs w:val="21"/>
        </w:rPr>
        <w:t>投标人应对招标文件第四章“服务需求及要求”中的各项条款做出清晰准确的答复，如有偏离应逐条提出，并将偏离情况填写</w:t>
      </w:r>
      <w:r>
        <w:rPr>
          <w:rFonts w:hint="eastAsia" w:ascii="Times New Roman" w:hAnsi="Times New Roman" w:cs="Times New Roman"/>
          <w:sz w:val="21"/>
          <w:szCs w:val="21"/>
        </w:rPr>
        <w:t>采购需求偏离表</w:t>
      </w:r>
      <w:r>
        <w:rPr>
          <w:rFonts w:ascii="Times New Roman" w:hAnsi="Times New Roman" w:cs="Times New Roman"/>
          <w:sz w:val="21"/>
          <w:szCs w:val="21"/>
        </w:rPr>
        <w:t>（附件4）。</w:t>
      </w:r>
      <w:bookmarkEnd w:id="569"/>
      <w:bookmarkEnd w:id="570"/>
      <w:bookmarkEnd w:id="571"/>
      <w:bookmarkEnd w:id="572"/>
      <w:bookmarkEnd w:id="573"/>
      <w:bookmarkEnd w:id="574"/>
      <w:bookmarkEnd w:id="575"/>
      <w:bookmarkEnd w:id="576"/>
      <w:bookmarkEnd w:id="577"/>
      <w:bookmarkEnd w:id="578"/>
    </w:p>
    <w:p w14:paraId="3EF00B0E">
      <w:pPr>
        <w:pStyle w:val="63"/>
        <w:numPr>
          <w:ilvl w:val="1"/>
          <w:numId w:val="8"/>
        </w:numPr>
        <w:spacing w:line="360" w:lineRule="auto"/>
        <w:ind w:firstLineChars="0"/>
        <w:outlineLvl w:val="0"/>
        <w:rPr>
          <w:rFonts w:ascii="Times New Roman" w:hAnsi="Times New Roman" w:cs="Times New Roman"/>
          <w:sz w:val="21"/>
          <w:szCs w:val="21"/>
        </w:rPr>
      </w:pPr>
      <w:bookmarkStart w:id="579" w:name="_Toc407612738"/>
      <w:bookmarkStart w:id="580" w:name="_Toc406595723"/>
      <w:bookmarkStart w:id="581" w:name="_Toc134728862"/>
      <w:bookmarkStart w:id="582" w:name="_Toc535397533"/>
      <w:bookmarkStart w:id="583" w:name="_Toc5859"/>
      <w:bookmarkStart w:id="584" w:name="_Toc15386207"/>
      <w:bookmarkStart w:id="585" w:name="_Toc3703"/>
      <w:bookmarkStart w:id="586" w:name="_Toc13225439"/>
      <w:bookmarkStart w:id="587" w:name="_Toc407613107"/>
      <w:bookmarkStart w:id="588" w:name="_Toc164420759"/>
      <w:r>
        <w:rPr>
          <w:rFonts w:ascii="Times New Roman" w:hAnsi="Times New Roman" w:cs="Times New Roman"/>
          <w:sz w:val="21"/>
          <w:szCs w:val="21"/>
        </w:rPr>
        <w:t>投标人须提交证明其拟供货物符合招标文件规定的响应性文件，作为投标文件的一部分。</w:t>
      </w:r>
      <w:bookmarkEnd w:id="579"/>
      <w:bookmarkEnd w:id="580"/>
      <w:bookmarkEnd w:id="581"/>
      <w:bookmarkEnd w:id="582"/>
      <w:bookmarkEnd w:id="583"/>
      <w:bookmarkEnd w:id="584"/>
      <w:bookmarkEnd w:id="585"/>
      <w:bookmarkEnd w:id="586"/>
      <w:bookmarkEnd w:id="587"/>
      <w:bookmarkEnd w:id="588"/>
    </w:p>
    <w:p w14:paraId="3F50CAA3">
      <w:pPr>
        <w:pStyle w:val="63"/>
        <w:numPr>
          <w:ilvl w:val="1"/>
          <w:numId w:val="8"/>
        </w:numPr>
        <w:spacing w:line="360" w:lineRule="auto"/>
        <w:ind w:firstLineChars="0"/>
        <w:outlineLvl w:val="0"/>
        <w:rPr>
          <w:rFonts w:ascii="Times New Roman" w:hAnsi="Times New Roman" w:cs="Times New Roman"/>
          <w:sz w:val="21"/>
          <w:szCs w:val="21"/>
        </w:rPr>
      </w:pPr>
      <w:bookmarkStart w:id="589" w:name="_Toc406595724"/>
      <w:bookmarkStart w:id="590" w:name="_Toc8242"/>
      <w:bookmarkStart w:id="591" w:name="_Toc535397534"/>
      <w:bookmarkStart w:id="592" w:name="_Toc407612739"/>
      <w:bookmarkStart w:id="593" w:name="_Toc407613108"/>
      <w:bookmarkStart w:id="594" w:name="_Toc15386208"/>
      <w:bookmarkStart w:id="595" w:name="_Toc13225440"/>
      <w:bookmarkStart w:id="596" w:name="_Toc134728863"/>
      <w:bookmarkStart w:id="597" w:name="_Toc30054"/>
      <w:bookmarkStart w:id="598" w:name="_Toc164420760"/>
      <w:r>
        <w:rPr>
          <w:rFonts w:ascii="Times New Roman" w:hAnsi="Times New Roman" w:cs="Times New Roman"/>
          <w:sz w:val="21"/>
          <w:szCs w:val="21"/>
        </w:rPr>
        <w:t>上述证明文件包括货物主要技术指标和性能的详细说明、项目实施方案、售后服务方案等。</w:t>
      </w:r>
      <w:bookmarkEnd w:id="589"/>
      <w:bookmarkEnd w:id="590"/>
      <w:bookmarkEnd w:id="591"/>
      <w:bookmarkEnd w:id="592"/>
      <w:bookmarkEnd w:id="593"/>
      <w:bookmarkEnd w:id="594"/>
      <w:bookmarkEnd w:id="595"/>
      <w:bookmarkEnd w:id="596"/>
      <w:bookmarkEnd w:id="597"/>
      <w:bookmarkEnd w:id="598"/>
    </w:p>
    <w:p w14:paraId="758F16E9">
      <w:pPr>
        <w:pStyle w:val="63"/>
        <w:numPr>
          <w:ilvl w:val="1"/>
          <w:numId w:val="8"/>
        </w:numPr>
        <w:spacing w:line="360" w:lineRule="auto"/>
        <w:ind w:firstLineChars="0"/>
        <w:outlineLvl w:val="0"/>
        <w:rPr>
          <w:rFonts w:ascii="Times New Roman" w:hAnsi="Times New Roman" w:cs="Times New Roman"/>
          <w:sz w:val="21"/>
          <w:szCs w:val="21"/>
        </w:rPr>
      </w:pPr>
      <w:bookmarkStart w:id="599" w:name="_Toc11066"/>
      <w:bookmarkStart w:id="600" w:name="_Toc407612740"/>
      <w:bookmarkStart w:id="601" w:name="_Toc134728864"/>
      <w:bookmarkStart w:id="602" w:name="_Toc407613109"/>
      <w:bookmarkStart w:id="603" w:name="_Toc13225441"/>
      <w:bookmarkStart w:id="604" w:name="_Toc15386209"/>
      <w:bookmarkStart w:id="605" w:name="_Toc4556"/>
      <w:bookmarkStart w:id="606" w:name="_Toc164420761"/>
      <w:bookmarkStart w:id="607" w:name="_Toc535397535"/>
      <w:bookmarkStart w:id="608" w:name="_Toc406595725"/>
      <w:r>
        <w:rPr>
          <w:rFonts w:ascii="Times New Roman" w:hAnsi="Times New Roman" w:cs="Times New Roman"/>
          <w:sz w:val="21"/>
          <w:szCs w:val="21"/>
        </w:rPr>
        <w:t>投标人应提供货物从招标人开始使用至质保期内正常、连续地使用所必须的备件和专用工具清单，包括备件和专用工具的货源及现行价格等信息。</w:t>
      </w:r>
      <w:bookmarkEnd w:id="599"/>
      <w:bookmarkEnd w:id="600"/>
      <w:bookmarkEnd w:id="601"/>
      <w:bookmarkEnd w:id="602"/>
      <w:bookmarkEnd w:id="603"/>
      <w:bookmarkEnd w:id="604"/>
      <w:bookmarkEnd w:id="605"/>
      <w:bookmarkEnd w:id="606"/>
      <w:bookmarkEnd w:id="607"/>
      <w:bookmarkEnd w:id="608"/>
    </w:p>
    <w:p w14:paraId="3C36F50B">
      <w:pPr>
        <w:pStyle w:val="63"/>
        <w:numPr>
          <w:ilvl w:val="1"/>
          <w:numId w:val="8"/>
        </w:numPr>
        <w:spacing w:line="360" w:lineRule="auto"/>
        <w:ind w:firstLineChars="0"/>
        <w:outlineLvl w:val="0"/>
        <w:rPr>
          <w:rFonts w:ascii="Times New Roman" w:hAnsi="Times New Roman" w:cs="Times New Roman"/>
          <w:sz w:val="21"/>
          <w:szCs w:val="21"/>
        </w:rPr>
      </w:pPr>
      <w:bookmarkStart w:id="609" w:name="_Toc407612741"/>
      <w:bookmarkStart w:id="610" w:name="_Toc134728865"/>
      <w:bookmarkStart w:id="611" w:name="_Toc13225442"/>
      <w:bookmarkStart w:id="612" w:name="_Toc406595726"/>
      <w:bookmarkStart w:id="613" w:name="_Toc164420762"/>
      <w:bookmarkStart w:id="614" w:name="_Toc407613110"/>
      <w:bookmarkStart w:id="615" w:name="_Toc15386210"/>
      <w:bookmarkStart w:id="616" w:name="_Toc30983"/>
      <w:bookmarkStart w:id="617" w:name="_Toc14044"/>
      <w:bookmarkStart w:id="618" w:name="_Toc535397536"/>
      <w:r>
        <w:rPr>
          <w:rFonts w:ascii="Times New Roman" w:hAnsi="Times New Roman" w:cs="Times New Roman"/>
          <w:sz w:val="21"/>
          <w:szCs w:val="21"/>
        </w:rPr>
        <w:t>本招标文件的“服务需求及要求”中所提出的标准、商标牌号（如有）或商品目录编号（如有）的参考资料仅系说明，并非进行限制。投标人可以在投标文件中采用具有权威性的标准、商标牌号或商品目录编号替换招标人指定的相应内容，只要能表明这些替换在实质上相当于或优于招标人所提技术规范的要求，并能使招标人满意。</w:t>
      </w:r>
      <w:bookmarkEnd w:id="609"/>
      <w:bookmarkEnd w:id="610"/>
      <w:bookmarkEnd w:id="611"/>
      <w:bookmarkEnd w:id="612"/>
      <w:bookmarkEnd w:id="613"/>
      <w:bookmarkEnd w:id="614"/>
      <w:bookmarkEnd w:id="615"/>
      <w:bookmarkEnd w:id="616"/>
      <w:bookmarkEnd w:id="617"/>
      <w:bookmarkEnd w:id="618"/>
    </w:p>
    <w:p w14:paraId="73B9DACA">
      <w:pPr>
        <w:pStyle w:val="63"/>
        <w:numPr>
          <w:ilvl w:val="0"/>
          <w:numId w:val="8"/>
        </w:numPr>
        <w:spacing w:line="360" w:lineRule="auto"/>
        <w:ind w:firstLineChars="0"/>
        <w:outlineLvl w:val="0"/>
        <w:rPr>
          <w:rFonts w:ascii="Times New Roman" w:hAnsi="Times New Roman" w:cs="Times New Roman"/>
          <w:b/>
          <w:bCs/>
          <w:sz w:val="21"/>
          <w:szCs w:val="21"/>
        </w:rPr>
      </w:pPr>
      <w:bookmarkStart w:id="619" w:name="_Toc12993"/>
      <w:bookmarkStart w:id="620" w:name="_Toc29746"/>
      <w:bookmarkStart w:id="621" w:name="_Toc407612742"/>
      <w:bookmarkStart w:id="622" w:name="_Toc134728866"/>
      <w:bookmarkStart w:id="623" w:name="_Toc407613111"/>
      <w:bookmarkStart w:id="624" w:name="_Toc15386211"/>
      <w:bookmarkStart w:id="625" w:name="_Toc164420763"/>
      <w:bookmarkStart w:id="626" w:name="_Toc13225443"/>
      <w:bookmarkStart w:id="627" w:name="_Toc535397537"/>
      <w:bookmarkStart w:id="628" w:name="_Toc406595727"/>
      <w:r>
        <w:rPr>
          <w:rFonts w:ascii="Times New Roman" w:hAnsi="Times New Roman" w:cs="Times New Roman"/>
          <w:b/>
          <w:bCs/>
          <w:sz w:val="21"/>
          <w:szCs w:val="21"/>
        </w:rPr>
        <w:t>投标保证金</w:t>
      </w:r>
      <w:bookmarkEnd w:id="619"/>
      <w:bookmarkEnd w:id="620"/>
      <w:bookmarkEnd w:id="621"/>
      <w:bookmarkEnd w:id="622"/>
      <w:bookmarkEnd w:id="623"/>
      <w:bookmarkEnd w:id="624"/>
      <w:bookmarkEnd w:id="625"/>
      <w:bookmarkEnd w:id="626"/>
      <w:bookmarkEnd w:id="627"/>
      <w:bookmarkEnd w:id="628"/>
    </w:p>
    <w:p w14:paraId="397ACEC0">
      <w:pPr>
        <w:pStyle w:val="63"/>
        <w:numPr>
          <w:ilvl w:val="1"/>
          <w:numId w:val="8"/>
        </w:numPr>
        <w:spacing w:line="360" w:lineRule="auto"/>
        <w:ind w:firstLineChars="0"/>
        <w:outlineLvl w:val="0"/>
        <w:rPr>
          <w:rFonts w:ascii="Times New Roman" w:hAnsi="Times New Roman" w:cs="Times New Roman"/>
          <w:sz w:val="21"/>
          <w:szCs w:val="21"/>
        </w:rPr>
      </w:pPr>
      <w:bookmarkStart w:id="629" w:name="_Ref467306302"/>
      <w:bookmarkStart w:id="630" w:name="_Toc13252"/>
      <w:bookmarkStart w:id="631" w:name="_Toc535397549"/>
      <w:bookmarkStart w:id="632" w:name="_Toc13894"/>
      <w:bookmarkStart w:id="633" w:name="_Toc406595739"/>
      <w:bookmarkStart w:id="634" w:name="_Toc15386223"/>
      <w:bookmarkStart w:id="635" w:name="_Toc407612754"/>
      <w:bookmarkStart w:id="636" w:name="_Toc407613123"/>
      <w:bookmarkStart w:id="637" w:name="_Toc13225455"/>
      <w:bookmarkStart w:id="638" w:name="_Toc164420775"/>
      <w:bookmarkStart w:id="639" w:name="_Toc134728878"/>
      <w:r>
        <w:rPr>
          <w:rFonts w:ascii="Times New Roman" w:hAnsi="Times New Roman" w:cs="Times New Roman"/>
          <w:sz w:val="21"/>
          <w:szCs w:val="21"/>
        </w:rPr>
        <w:t>投标人应按《投标人须知资料表》中规定的金额及要求交纳投标保证金</w:t>
      </w:r>
      <w:bookmarkEnd w:id="629"/>
      <w:r>
        <w:rPr>
          <w:rFonts w:ascii="Times New Roman" w:hAnsi="Times New Roman" w:cs="Times New Roman"/>
          <w:sz w:val="21"/>
          <w:szCs w:val="21"/>
        </w:rPr>
        <w:t>。投标人自愿超额缴纳投标保证金的，投标文件不做无效处理。</w:t>
      </w:r>
      <w:bookmarkEnd w:id="630"/>
    </w:p>
    <w:p w14:paraId="3B8882BB">
      <w:pPr>
        <w:pStyle w:val="63"/>
        <w:numPr>
          <w:ilvl w:val="1"/>
          <w:numId w:val="8"/>
        </w:numPr>
        <w:spacing w:line="360" w:lineRule="auto"/>
        <w:ind w:firstLineChars="0"/>
        <w:outlineLvl w:val="0"/>
        <w:rPr>
          <w:rFonts w:ascii="Times New Roman" w:hAnsi="Times New Roman" w:cs="Times New Roman"/>
          <w:sz w:val="21"/>
          <w:szCs w:val="21"/>
        </w:rPr>
      </w:pPr>
      <w:bookmarkStart w:id="640" w:name="_Toc28886"/>
      <w:r>
        <w:rPr>
          <w:rFonts w:ascii="Times New Roman" w:hAnsi="Times New Roman" w:cs="Times New Roman"/>
          <w:sz w:val="21"/>
          <w:szCs w:val="21"/>
        </w:rPr>
        <w:t>交纳投标保证金可采用的形式：政府采购法律法规接受的支票、汇票、本票、网上银行支付或者金融机构、担保机构出具的保函等非现金形式。</w:t>
      </w:r>
      <w:bookmarkEnd w:id="640"/>
    </w:p>
    <w:p w14:paraId="29CFAC8B">
      <w:pPr>
        <w:pStyle w:val="63"/>
        <w:numPr>
          <w:ilvl w:val="1"/>
          <w:numId w:val="8"/>
        </w:numPr>
        <w:spacing w:line="360" w:lineRule="auto"/>
        <w:ind w:firstLineChars="0"/>
        <w:outlineLvl w:val="0"/>
        <w:rPr>
          <w:rFonts w:ascii="Times New Roman" w:hAnsi="Times New Roman" w:cs="Times New Roman"/>
          <w:sz w:val="21"/>
          <w:szCs w:val="21"/>
        </w:rPr>
      </w:pPr>
      <w:bookmarkStart w:id="641" w:name="_Toc24255"/>
      <w:r>
        <w:rPr>
          <w:rFonts w:ascii="Times New Roman" w:hAnsi="Times New Roman" w:cs="Times New Roman"/>
          <w:sz w:val="21"/>
          <w:szCs w:val="21"/>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642" w:name="_Hlk164959831"/>
      <w:r>
        <w:rPr>
          <w:rFonts w:ascii="Times New Roman" w:hAnsi="Times New Roman" w:cs="Times New Roman"/>
          <w:sz w:val="21"/>
          <w:szCs w:val="21"/>
        </w:rPr>
        <w:t>。</w:t>
      </w:r>
      <w:bookmarkEnd w:id="642"/>
      <w:r>
        <w:rPr>
          <w:rFonts w:ascii="Times New Roman" w:hAnsi="Times New Roman" w:cs="Times New Roman"/>
          <w:sz w:val="21"/>
          <w:szCs w:val="21"/>
        </w:rPr>
        <w:t>未按上述要求缴纳投标保证金的，其投标无效。</w:t>
      </w:r>
      <w:bookmarkEnd w:id="641"/>
    </w:p>
    <w:p w14:paraId="0BBC0D12">
      <w:pPr>
        <w:pStyle w:val="63"/>
        <w:numPr>
          <w:ilvl w:val="1"/>
          <w:numId w:val="8"/>
        </w:numPr>
        <w:spacing w:line="360" w:lineRule="auto"/>
        <w:ind w:firstLineChars="0"/>
        <w:outlineLvl w:val="0"/>
        <w:rPr>
          <w:rFonts w:ascii="Times New Roman" w:hAnsi="Times New Roman" w:cs="Times New Roman"/>
          <w:sz w:val="21"/>
          <w:szCs w:val="21"/>
        </w:rPr>
      </w:pPr>
      <w:bookmarkStart w:id="643" w:name="_Toc13653"/>
      <w:r>
        <w:rPr>
          <w:rFonts w:ascii="Times New Roman" w:hAnsi="Times New Roman" w:cs="Times New Roman"/>
          <w:sz w:val="21"/>
          <w:szCs w:val="21"/>
        </w:rPr>
        <w:t>投标保证金有效期同投标有效期。</w:t>
      </w:r>
      <w:bookmarkEnd w:id="643"/>
    </w:p>
    <w:p w14:paraId="5B2787C3">
      <w:pPr>
        <w:pStyle w:val="63"/>
        <w:numPr>
          <w:ilvl w:val="1"/>
          <w:numId w:val="8"/>
        </w:numPr>
        <w:spacing w:line="360" w:lineRule="auto"/>
        <w:ind w:firstLineChars="0"/>
        <w:outlineLvl w:val="0"/>
        <w:rPr>
          <w:rFonts w:ascii="Times New Roman" w:hAnsi="Times New Roman" w:cs="Times New Roman"/>
          <w:sz w:val="21"/>
          <w:szCs w:val="21"/>
        </w:rPr>
      </w:pPr>
      <w:bookmarkStart w:id="644" w:name="_Toc24980"/>
      <w:r>
        <w:rPr>
          <w:rFonts w:ascii="Times New Roman" w:hAnsi="Times New Roman" w:cs="Times New Roman"/>
          <w:sz w:val="21"/>
          <w:szCs w:val="21"/>
        </w:rPr>
        <w:t>投标人为联合体的，可以由联合体中的一方或者多方共同交纳投标保证金，其交纳的投标保证金对联合体各方均具有约束力。</w:t>
      </w:r>
      <w:bookmarkEnd w:id="644"/>
    </w:p>
    <w:p w14:paraId="58737C92">
      <w:pPr>
        <w:pStyle w:val="63"/>
        <w:numPr>
          <w:ilvl w:val="1"/>
          <w:numId w:val="8"/>
        </w:numPr>
        <w:spacing w:line="360" w:lineRule="auto"/>
        <w:ind w:firstLineChars="0"/>
        <w:outlineLvl w:val="0"/>
        <w:rPr>
          <w:rFonts w:ascii="Times New Roman" w:hAnsi="Times New Roman" w:cs="Times New Roman"/>
          <w:sz w:val="21"/>
          <w:szCs w:val="21"/>
        </w:rPr>
      </w:pPr>
      <w:bookmarkStart w:id="645" w:name="_Toc23042"/>
      <w:r>
        <w:rPr>
          <w:rFonts w:hint="eastAsia" w:ascii="Times New Roman" w:hAnsi="Times New Roman" w:cs="Times New Roman"/>
          <w:sz w:val="21"/>
          <w:szCs w:val="21"/>
        </w:rPr>
        <w:t>招标人</w:t>
      </w:r>
      <w:r>
        <w:rPr>
          <w:rFonts w:ascii="Times New Roman" w:hAnsi="Times New Roman" w:cs="Times New Roman"/>
          <w:sz w:val="21"/>
          <w:szCs w:val="21"/>
        </w:rPr>
        <w:t>、采购代理机构将及时退还投标人的投标保证金，采用银行保函、担保机构担保函等形式递交的投标保证金，经投标人同意后</w:t>
      </w:r>
      <w:r>
        <w:rPr>
          <w:rFonts w:hint="eastAsia" w:ascii="Times New Roman" w:hAnsi="Times New Roman" w:cs="Times New Roman"/>
          <w:sz w:val="21"/>
          <w:szCs w:val="21"/>
        </w:rPr>
        <w:t>招标人</w:t>
      </w:r>
      <w:r>
        <w:rPr>
          <w:rFonts w:ascii="Times New Roman" w:hAnsi="Times New Roman" w:cs="Times New Roman"/>
          <w:sz w:val="21"/>
          <w:szCs w:val="21"/>
        </w:rPr>
        <w:t>、采购代理机构可以不再退还，但因投标人自身原因导致无法及时退还的除外：</w:t>
      </w:r>
      <w:bookmarkEnd w:id="645"/>
    </w:p>
    <w:p w14:paraId="7C482ABA">
      <w:pPr>
        <w:pStyle w:val="63"/>
        <w:numPr>
          <w:ilvl w:val="2"/>
          <w:numId w:val="8"/>
        </w:numPr>
        <w:spacing w:line="360" w:lineRule="auto"/>
        <w:ind w:firstLineChars="0"/>
        <w:outlineLvl w:val="0"/>
        <w:rPr>
          <w:rFonts w:ascii="Times New Roman" w:hAnsi="Times New Roman" w:cs="Times New Roman"/>
          <w:sz w:val="21"/>
          <w:szCs w:val="21"/>
        </w:rPr>
      </w:pPr>
      <w:bookmarkStart w:id="646" w:name="_Toc4519"/>
      <w:r>
        <w:rPr>
          <w:rFonts w:ascii="Times New Roman" w:hAnsi="Times New Roman" w:cs="Times New Roman"/>
          <w:sz w:val="21"/>
          <w:szCs w:val="21"/>
        </w:rPr>
        <w:t>投标人在投标截止时间前撤回已提交的投标文件的，自收到投标人书面撤回通知之日起5个工作日内退还已收取的投标保证金；</w:t>
      </w:r>
      <w:bookmarkEnd w:id="646"/>
    </w:p>
    <w:p w14:paraId="65C1354C">
      <w:pPr>
        <w:pStyle w:val="63"/>
        <w:numPr>
          <w:ilvl w:val="2"/>
          <w:numId w:val="8"/>
        </w:numPr>
        <w:spacing w:line="360" w:lineRule="auto"/>
        <w:ind w:firstLineChars="0"/>
        <w:outlineLvl w:val="0"/>
        <w:rPr>
          <w:rFonts w:ascii="Times New Roman" w:hAnsi="Times New Roman" w:cs="Times New Roman"/>
          <w:sz w:val="21"/>
          <w:szCs w:val="21"/>
        </w:rPr>
      </w:pPr>
      <w:bookmarkStart w:id="647" w:name="_Toc32414"/>
      <w:r>
        <w:rPr>
          <w:rFonts w:ascii="Times New Roman" w:hAnsi="Times New Roman" w:cs="Times New Roman"/>
          <w:sz w:val="21"/>
          <w:szCs w:val="21"/>
        </w:rPr>
        <w:t>投标保证金自采购合同签订之日起5个工作日内退还</w:t>
      </w:r>
      <w:r>
        <w:rPr>
          <w:rFonts w:hint="eastAsia" w:ascii="Times New Roman" w:hAnsi="Times New Roman" w:cs="Times New Roman"/>
          <w:sz w:val="21"/>
          <w:szCs w:val="21"/>
        </w:rPr>
        <w:t>各投</w:t>
      </w:r>
      <w:r>
        <w:rPr>
          <w:rFonts w:ascii="Times New Roman" w:hAnsi="Times New Roman" w:cs="Times New Roman"/>
          <w:sz w:val="21"/>
          <w:szCs w:val="21"/>
        </w:rPr>
        <w:t>标人；</w:t>
      </w:r>
      <w:bookmarkEnd w:id="647"/>
    </w:p>
    <w:p w14:paraId="22C3AC8F">
      <w:pPr>
        <w:pStyle w:val="63"/>
        <w:numPr>
          <w:ilvl w:val="1"/>
          <w:numId w:val="8"/>
        </w:numPr>
        <w:spacing w:line="360" w:lineRule="auto"/>
        <w:ind w:firstLineChars="0"/>
        <w:outlineLvl w:val="0"/>
        <w:rPr>
          <w:rFonts w:ascii="Times New Roman" w:hAnsi="Times New Roman" w:cs="Times New Roman"/>
          <w:sz w:val="21"/>
          <w:szCs w:val="21"/>
        </w:rPr>
      </w:pPr>
      <w:bookmarkStart w:id="648" w:name="_Toc22517"/>
      <w:r>
        <w:rPr>
          <w:rFonts w:ascii="Times New Roman" w:hAnsi="Times New Roman" w:cs="Times New Roman"/>
          <w:sz w:val="21"/>
          <w:szCs w:val="21"/>
        </w:rPr>
        <w:t>有下列情形之一的，</w:t>
      </w:r>
      <w:r>
        <w:rPr>
          <w:rFonts w:hint="eastAsia" w:ascii="Times New Roman" w:hAnsi="Times New Roman" w:cs="Times New Roman"/>
          <w:sz w:val="21"/>
          <w:szCs w:val="21"/>
        </w:rPr>
        <w:t>招标人</w:t>
      </w:r>
      <w:r>
        <w:rPr>
          <w:rFonts w:ascii="Times New Roman" w:hAnsi="Times New Roman" w:cs="Times New Roman"/>
          <w:sz w:val="21"/>
          <w:szCs w:val="21"/>
        </w:rPr>
        <w:t>或采购代理机构可以不予退还投标保证金：</w:t>
      </w:r>
      <w:bookmarkEnd w:id="648"/>
    </w:p>
    <w:p w14:paraId="101993E7">
      <w:pPr>
        <w:pStyle w:val="63"/>
        <w:numPr>
          <w:ilvl w:val="2"/>
          <w:numId w:val="8"/>
        </w:numPr>
        <w:spacing w:line="360" w:lineRule="auto"/>
        <w:ind w:firstLineChars="0"/>
        <w:outlineLvl w:val="0"/>
        <w:rPr>
          <w:rFonts w:ascii="Times New Roman" w:hAnsi="Times New Roman" w:cs="Times New Roman"/>
          <w:sz w:val="21"/>
          <w:szCs w:val="21"/>
        </w:rPr>
      </w:pPr>
      <w:bookmarkStart w:id="649" w:name="_Toc5993"/>
      <w:r>
        <w:rPr>
          <w:rFonts w:ascii="Times New Roman" w:hAnsi="Times New Roman" w:cs="Times New Roman"/>
          <w:sz w:val="21"/>
          <w:szCs w:val="21"/>
        </w:rPr>
        <w:t>投标有效期内投标人撤销投标文件的；</w:t>
      </w:r>
      <w:bookmarkEnd w:id="649"/>
    </w:p>
    <w:p w14:paraId="64BE9388">
      <w:pPr>
        <w:pStyle w:val="63"/>
        <w:numPr>
          <w:ilvl w:val="0"/>
          <w:numId w:val="8"/>
        </w:numPr>
        <w:spacing w:line="360" w:lineRule="auto"/>
        <w:ind w:firstLineChars="0"/>
        <w:outlineLvl w:val="0"/>
        <w:rPr>
          <w:rFonts w:ascii="Times New Roman" w:hAnsi="Times New Roman" w:cs="Times New Roman"/>
          <w:b/>
          <w:bCs/>
          <w:sz w:val="21"/>
          <w:szCs w:val="21"/>
        </w:rPr>
      </w:pPr>
      <w:bookmarkStart w:id="650" w:name="_Toc12822"/>
      <w:r>
        <w:rPr>
          <w:rFonts w:ascii="Times New Roman" w:hAnsi="Times New Roman" w:cs="Times New Roman"/>
          <w:b/>
          <w:bCs/>
          <w:sz w:val="21"/>
          <w:szCs w:val="21"/>
        </w:rPr>
        <w:t>投标有效期</w:t>
      </w:r>
      <w:bookmarkEnd w:id="631"/>
      <w:bookmarkEnd w:id="632"/>
      <w:bookmarkEnd w:id="633"/>
      <w:bookmarkEnd w:id="634"/>
      <w:bookmarkEnd w:id="635"/>
      <w:bookmarkEnd w:id="636"/>
      <w:bookmarkEnd w:id="637"/>
      <w:bookmarkEnd w:id="638"/>
      <w:bookmarkEnd w:id="639"/>
      <w:bookmarkEnd w:id="650"/>
    </w:p>
    <w:p w14:paraId="34686A1A">
      <w:pPr>
        <w:pStyle w:val="63"/>
        <w:numPr>
          <w:ilvl w:val="1"/>
          <w:numId w:val="8"/>
        </w:numPr>
        <w:spacing w:line="360" w:lineRule="auto"/>
        <w:ind w:firstLineChars="0"/>
        <w:outlineLvl w:val="0"/>
        <w:rPr>
          <w:rFonts w:ascii="Times New Roman" w:hAnsi="Times New Roman" w:cs="Times New Roman"/>
          <w:sz w:val="21"/>
          <w:szCs w:val="21"/>
        </w:rPr>
      </w:pPr>
      <w:bookmarkStart w:id="651" w:name="_Toc535397550"/>
      <w:bookmarkStart w:id="652" w:name="_Toc134728879"/>
      <w:bookmarkStart w:id="653" w:name="_Toc164420776"/>
      <w:bookmarkStart w:id="654" w:name="_Toc25767"/>
      <w:bookmarkStart w:id="655" w:name="_Toc406595740"/>
      <w:bookmarkStart w:id="656" w:name="_Toc407613124"/>
      <w:bookmarkStart w:id="657" w:name="_Toc13225456"/>
      <w:bookmarkStart w:id="658" w:name="_Toc407612755"/>
      <w:bookmarkStart w:id="659" w:name="_Toc31636"/>
      <w:bookmarkStart w:id="660" w:name="_Toc15386224"/>
      <w:r>
        <w:rPr>
          <w:rFonts w:ascii="Times New Roman" w:hAnsi="Times New Roman" w:cs="Times New Roman"/>
          <w:sz w:val="21"/>
          <w:szCs w:val="21"/>
        </w:rPr>
        <w:t>投标文件从开标日起有效期为90天。如果投标文件有效期不足90天，将导致投标无效。</w:t>
      </w:r>
      <w:bookmarkEnd w:id="651"/>
      <w:bookmarkEnd w:id="652"/>
      <w:bookmarkEnd w:id="653"/>
      <w:bookmarkEnd w:id="654"/>
      <w:bookmarkEnd w:id="655"/>
      <w:bookmarkEnd w:id="656"/>
      <w:bookmarkEnd w:id="657"/>
      <w:bookmarkEnd w:id="658"/>
      <w:bookmarkEnd w:id="659"/>
      <w:bookmarkEnd w:id="660"/>
    </w:p>
    <w:p w14:paraId="62E19746">
      <w:pPr>
        <w:pStyle w:val="63"/>
        <w:numPr>
          <w:ilvl w:val="1"/>
          <w:numId w:val="8"/>
        </w:numPr>
        <w:spacing w:line="360" w:lineRule="auto"/>
        <w:ind w:firstLineChars="0"/>
        <w:outlineLvl w:val="0"/>
        <w:rPr>
          <w:rFonts w:ascii="Times New Roman" w:hAnsi="Times New Roman" w:cs="Times New Roman"/>
          <w:sz w:val="21"/>
          <w:szCs w:val="21"/>
        </w:rPr>
      </w:pPr>
      <w:bookmarkStart w:id="661" w:name="_Toc164420777"/>
      <w:bookmarkStart w:id="662" w:name="_Toc134728880"/>
      <w:bookmarkStart w:id="663" w:name="_Toc21436"/>
      <w:bookmarkStart w:id="664" w:name="_Toc15386225"/>
      <w:bookmarkStart w:id="665" w:name="_Toc407612756"/>
      <w:bookmarkStart w:id="666" w:name="_Toc13225457"/>
      <w:bookmarkStart w:id="667" w:name="_Toc407613125"/>
      <w:bookmarkStart w:id="668" w:name="_Toc535397551"/>
      <w:bookmarkStart w:id="669" w:name="_Toc406595741"/>
      <w:bookmarkStart w:id="670" w:name="_Toc23578"/>
      <w:r>
        <w:rPr>
          <w:rFonts w:ascii="Times New Roman" w:hAnsi="Times New Roman" w:cs="Times New Roman"/>
          <w:sz w:val="21"/>
          <w:szCs w:val="21"/>
        </w:rPr>
        <w:t>特殊情况下，招标人可于投标有效期满之前要求投标人同意延长有效期，要求与答复均应为书面形式。投标人可以拒绝上述要求，其投标保证金不被没收。对于同意该要求的投标人，将被要求相应延长投标保证金的有效期。</w:t>
      </w:r>
      <w:bookmarkEnd w:id="661"/>
      <w:bookmarkEnd w:id="662"/>
      <w:bookmarkEnd w:id="663"/>
      <w:bookmarkEnd w:id="664"/>
      <w:bookmarkEnd w:id="665"/>
      <w:bookmarkEnd w:id="666"/>
      <w:bookmarkEnd w:id="667"/>
      <w:bookmarkEnd w:id="668"/>
      <w:bookmarkEnd w:id="669"/>
      <w:bookmarkEnd w:id="670"/>
    </w:p>
    <w:p w14:paraId="697D4F50">
      <w:pPr>
        <w:pStyle w:val="63"/>
        <w:numPr>
          <w:ilvl w:val="0"/>
          <w:numId w:val="8"/>
        </w:numPr>
        <w:spacing w:line="360" w:lineRule="auto"/>
        <w:ind w:firstLineChars="0"/>
        <w:outlineLvl w:val="0"/>
        <w:rPr>
          <w:rFonts w:ascii="Times New Roman" w:hAnsi="Times New Roman" w:cs="Times New Roman"/>
          <w:b/>
          <w:bCs/>
          <w:sz w:val="21"/>
          <w:szCs w:val="21"/>
        </w:rPr>
      </w:pPr>
      <w:bookmarkStart w:id="671" w:name="_Toc406595742"/>
      <w:bookmarkStart w:id="672" w:name="_Toc164420778"/>
      <w:bookmarkStart w:id="673" w:name="_Toc134728881"/>
      <w:bookmarkStart w:id="674" w:name="_Toc15386226"/>
      <w:bookmarkStart w:id="675" w:name="_Toc407613126"/>
      <w:bookmarkStart w:id="676" w:name="_Toc535397552"/>
      <w:bookmarkStart w:id="677" w:name="_Toc407612757"/>
      <w:bookmarkStart w:id="678" w:name="_Toc13225458"/>
      <w:bookmarkStart w:id="679" w:name="_Toc17281"/>
      <w:bookmarkStart w:id="680" w:name="_Toc12984"/>
      <w:r>
        <w:rPr>
          <w:rFonts w:ascii="Times New Roman" w:hAnsi="Times New Roman" w:cs="Times New Roman"/>
          <w:b/>
          <w:bCs/>
          <w:sz w:val="21"/>
          <w:szCs w:val="21"/>
        </w:rPr>
        <w:t>投标文件的签署及规定</w:t>
      </w:r>
      <w:bookmarkEnd w:id="671"/>
      <w:bookmarkEnd w:id="672"/>
      <w:bookmarkEnd w:id="673"/>
      <w:bookmarkEnd w:id="674"/>
      <w:bookmarkEnd w:id="675"/>
      <w:bookmarkEnd w:id="676"/>
      <w:bookmarkEnd w:id="677"/>
      <w:bookmarkEnd w:id="678"/>
      <w:bookmarkEnd w:id="679"/>
      <w:bookmarkEnd w:id="680"/>
    </w:p>
    <w:p w14:paraId="2BFBE8EB">
      <w:pPr>
        <w:pStyle w:val="63"/>
        <w:numPr>
          <w:ilvl w:val="1"/>
          <w:numId w:val="8"/>
        </w:numPr>
        <w:spacing w:line="360" w:lineRule="auto"/>
        <w:ind w:firstLineChars="0"/>
        <w:outlineLvl w:val="0"/>
        <w:rPr>
          <w:rFonts w:ascii="Times New Roman" w:hAnsi="Times New Roman" w:cs="Times New Roman"/>
          <w:sz w:val="21"/>
          <w:szCs w:val="21"/>
        </w:rPr>
      </w:pPr>
      <w:bookmarkStart w:id="681" w:name="_Toc90"/>
      <w:bookmarkStart w:id="682" w:name="_Toc407613127"/>
      <w:bookmarkStart w:id="683" w:name="_Toc164420779"/>
      <w:bookmarkStart w:id="684" w:name="_Toc535397553"/>
      <w:bookmarkStart w:id="685" w:name="_Toc407612758"/>
      <w:bookmarkStart w:id="686" w:name="_Toc15386227"/>
      <w:bookmarkStart w:id="687" w:name="_Toc29306"/>
      <w:bookmarkStart w:id="688" w:name="_Toc13225459"/>
      <w:bookmarkStart w:id="689" w:name="_Toc134728882"/>
      <w:bookmarkStart w:id="690" w:name="_Toc406595743"/>
      <w:r>
        <w:rPr>
          <w:rFonts w:ascii="Times New Roman" w:hAnsi="Times New Roman" w:cs="Times New Roman"/>
          <w:sz w:val="21"/>
          <w:szCs w:val="21"/>
        </w:rPr>
        <w:t>投标文件的纸质正本需打印或用不退色墨水书写，并由投标人的法定代表人或经其正式授权的代表在投标文件上要求的地方签字、加盖单位公章。授权代表须有书面的“法定代表人授权书”（附件7），并将其附在投标文件中。投标文件的纸质副本可采用纸质正本的复印件；若纸质正本和纸质副本不同，以纸质正本为准。</w:t>
      </w:r>
      <w:bookmarkEnd w:id="681"/>
      <w:bookmarkEnd w:id="682"/>
      <w:bookmarkEnd w:id="683"/>
      <w:bookmarkEnd w:id="684"/>
      <w:bookmarkEnd w:id="685"/>
      <w:bookmarkEnd w:id="686"/>
      <w:bookmarkEnd w:id="687"/>
      <w:bookmarkEnd w:id="688"/>
      <w:bookmarkEnd w:id="689"/>
      <w:bookmarkEnd w:id="690"/>
    </w:p>
    <w:p w14:paraId="5A64052E">
      <w:pPr>
        <w:pStyle w:val="63"/>
        <w:numPr>
          <w:ilvl w:val="1"/>
          <w:numId w:val="8"/>
        </w:numPr>
        <w:spacing w:line="360" w:lineRule="auto"/>
        <w:ind w:firstLineChars="0"/>
        <w:outlineLvl w:val="0"/>
        <w:rPr>
          <w:rFonts w:ascii="Times New Roman" w:hAnsi="Times New Roman" w:cs="Times New Roman"/>
          <w:sz w:val="21"/>
          <w:szCs w:val="21"/>
        </w:rPr>
      </w:pPr>
      <w:bookmarkStart w:id="691" w:name="_Toc407612759"/>
      <w:bookmarkStart w:id="692" w:name="_Toc13538"/>
      <w:bookmarkStart w:id="693" w:name="_Toc13225460"/>
      <w:bookmarkStart w:id="694" w:name="_Toc535397554"/>
      <w:bookmarkStart w:id="695" w:name="_Toc164420780"/>
      <w:bookmarkStart w:id="696" w:name="_Toc15386228"/>
      <w:bookmarkStart w:id="697" w:name="_Toc407613128"/>
      <w:bookmarkStart w:id="698" w:name="_Toc406595744"/>
      <w:bookmarkStart w:id="699" w:name="_Toc2742"/>
      <w:bookmarkStart w:id="700" w:name="_Toc134728883"/>
      <w:r>
        <w:rPr>
          <w:rFonts w:ascii="Times New Roman" w:hAnsi="Times New Roman" w:cs="Times New Roman"/>
          <w:sz w:val="21"/>
          <w:szCs w:val="21"/>
        </w:rPr>
        <w:t>投标文件的任何行间插字、涂改和增删须由签署投标文件的人在旁边签字并加盖公章才有效。</w:t>
      </w:r>
      <w:bookmarkEnd w:id="691"/>
      <w:bookmarkEnd w:id="692"/>
      <w:bookmarkEnd w:id="693"/>
      <w:bookmarkEnd w:id="694"/>
      <w:bookmarkEnd w:id="695"/>
      <w:bookmarkEnd w:id="696"/>
      <w:bookmarkEnd w:id="697"/>
      <w:bookmarkEnd w:id="698"/>
      <w:bookmarkEnd w:id="699"/>
      <w:bookmarkEnd w:id="700"/>
    </w:p>
    <w:p w14:paraId="52DEF78E">
      <w:pPr>
        <w:pStyle w:val="63"/>
        <w:numPr>
          <w:ilvl w:val="1"/>
          <w:numId w:val="8"/>
        </w:numPr>
        <w:spacing w:line="360" w:lineRule="auto"/>
        <w:ind w:firstLineChars="0"/>
        <w:outlineLvl w:val="0"/>
        <w:rPr>
          <w:rFonts w:ascii="Times New Roman" w:hAnsi="Times New Roman" w:cs="Times New Roman"/>
          <w:sz w:val="21"/>
          <w:szCs w:val="21"/>
        </w:rPr>
      </w:pPr>
      <w:bookmarkStart w:id="701" w:name="_Toc13225461"/>
      <w:bookmarkStart w:id="702" w:name="_Toc407612760"/>
      <w:bookmarkStart w:id="703" w:name="_Toc535397555"/>
      <w:bookmarkStart w:id="704" w:name="_Toc26476"/>
      <w:bookmarkStart w:id="705" w:name="_Toc406595745"/>
      <w:bookmarkStart w:id="706" w:name="_Toc134728884"/>
      <w:bookmarkStart w:id="707" w:name="_Toc5243"/>
      <w:bookmarkStart w:id="708" w:name="_Toc164420781"/>
      <w:bookmarkStart w:id="709" w:name="_Toc407613129"/>
      <w:bookmarkStart w:id="710" w:name="_Toc15386229"/>
      <w:r>
        <w:rPr>
          <w:rFonts w:ascii="Times New Roman" w:hAnsi="Times New Roman" w:cs="Times New Roman"/>
          <w:sz w:val="21"/>
          <w:szCs w:val="21"/>
        </w:rPr>
        <w:t>投标文件（包括投标文件的补充文件、澄清函等）因字迹潦草或表达不清所引起的后果由投标人负责。</w:t>
      </w:r>
      <w:bookmarkEnd w:id="701"/>
      <w:bookmarkEnd w:id="702"/>
      <w:bookmarkEnd w:id="703"/>
      <w:bookmarkEnd w:id="704"/>
      <w:bookmarkEnd w:id="705"/>
      <w:bookmarkEnd w:id="706"/>
      <w:bookmarkEnd w:id="707"/>
      <w:bookmarkEnd w:id="708"/>
      <w:bookmarkEnd w:id="709"/>
      <w:bookmarkEnd w:id="710"/>
    </w:p>
    <w:p w14:paraId="56029A68">
      <w:pPr>
        <w:spacing w:line="360" w:lineRule="auto"/>
        <w:ind w:firstLine="420" w:firstLineChars="200"/>
        <w:rPr>
          <w:rFonts w:ascii="Times New Roman" w:hAnsi="Times New Roman" w:cs="Times New Roman"/>
          <w:sz w:val="21"/>
          <w:szCs w:val="21"/>
        </w:rPr>
      </w:pPr>
    </w:p>
    <w:p w14:paraId="6F7D5FCC">
      <w:pPr>
        <w:pStyle w:val="63"/>
        <w:numPr>
          <w:ilvl w:val="0"/>
          <w:numId w:val="7"/>
        </w:numPr>
        <w:spacing w:line="360" w:lineRule="auto"/>
        <w:ind w:left="0" w:firstLine="0" w:firstLineChars="0"/>
        <w:jc w:val="center"/>
        <w:outlineLvl w:val="0"/>
        <w:rPr>
          <w:rFonts w:ascii="Times New Roman" w:hAnsi="Times New Roman" w:cs="Times New Roman"/>
          <w:b/>
        </w:rPr>
      </w:pPr>
      <w:bookmarkStart w:id="711" w:name="_Toc9752"/>
      <w:bookmarkStart w:id="712" w:name="_Toc31217"/>
      <w:r>
        <w:rPr>
          <w:rFonts w:ascii="Times New Roman" w:hAnsi="Times New Roman" w:cs="Times New Roman"/>
          <w:b/>
        </w:rPr>
        <w:t>投标文件的递交</w:t>
      </w:r>
      <w:bookmarkEnd w:id="711"/>
      <w:bookmarkEnd w:id="712"/>
    </w:p>
    <w:p w14:paraId="1162A2D2">
      <w:pPr>
        <w:pStyle w:val="63"/>
        <w:numPr>
          <w:ilvl w:val="0"/>
          <w:numId w:val="8"/>
        </w:numPr>
        <w:spacing w:line="360" w:lineRule="auto"/>
        <w:ind w:firstLineChars="0"/>
        <w:outlineLvl w:val="0"/>
        <w:rPr>
          <w:rFonts w:ascii="Times New Roman" w:hAnsi="Times New Roman" w:cs="Times New Roman"/>
          <w:b/>
          <w:bCs/>
          <w:sz w:val="21"/>
          <w:szCs w:val="21"/>
        </w:rPr>
      </w:pPr>
      <w:bookmarkStart w:id="713" w:name="_Toc535397557"/>
      <w:bookmarkStart w:id="714" w:name="_Toc13225463"/>
      <w:bookmarkStart w:id="715" w:name="_Toc164420783"/>
      <w:bookmarkStart w:id="716" w:name="_Toc407613131"/>
      <w:bookmarkStart w:id="717" w:name="_Toc4783"/>
      <w:bookmarkStart w:id="718" w:name="_Toc21287"/>
      <w:bookmarkStart w:id="719" w:name="_Toc15386231"/>
      <w:bookmarkStart w:id="720" w:name="_Toc407612762"/>
      <w:bookmarkStart w:id="721" w:name="_Toc406595747"/>
      <w:bookmarkStart w:id="722" w:name="_Toc134728886"/>
      <w:r>
        <w:rPr>
          <w:rFonts w:ascii="Times New Roman" w:hAnsi="Times New Roman" w:cs="Times New Roman"/>
          <w:b/>
          <w:bCs/>
          <w:sz w:val="21"/>
          <w:szCs w:val="21"/>
        </w:rPr>
        <w:t>投标文件的数量、密封和标记</w:t>
      </w:r>
      <w:bookmarkEnd w:id="713"/>
      <w:bookmarkEnd w:id="714"/>
      <w:bookmarkEnd w:id="715"/>
      <w:bookmarkEnd w:id="716"/>
      <w:bookmarkEnd w:id="717"/>
      <w:bookmarkEnd w:id="718"/>
      <w:bookmarkEnd w:id="719"/>
      <w:bookmarkEnd w:id="720"/>
      <w:bookmarkEnd w:id="721"/>
      <w:bookmarkEnd w:id="722"/>
    </w:p>
    <w:p w14:paraId="18C6D230">
      <w:pPr>
        <w:pStyle w:val="63"/>
        <w:numPr>
          <w:ilvl w:val="1"/>
          <w:numId w:val="8"/>
        </w:numPr>
        <w:spacing w:line="360" w:lineRule="auto"/>
        <w:ind w:firstLineChars="0"/>
        <w:outlineLvl w:val="0"/>
        <w:rPr>
          <w:rFonts w:ascii="Times New Roman" w:hAnsi="Times New Roman" w:cs="Times New Roman"/>
          <w:sz w:val="21"/>
          <w:szCs w:val="21"/>
        </w:rPr>
      </w:pPr>
      <w:bookmarkStart w:id="723" w:name="_Toc407612763"/>
      <w:bookmarkStart w:id="724" w:name="_Toc3319"/>
      <w:bookmarkStart w:id="725" w:name="_Toc134728887"/>
      <w:bookmarkStart w:id="726" w:name="_Toc14534"/>
      <w:bookmarkStart w:id="727" w:name="_Toc13225464"/>
      <w:bookmarkStart w:id="728" w:name="_Toc164420784"/>
      <w:bookmarkStart w:id="729" w:name="_Toc15386232"/>
      <w:bookmarkStart w:id="730" w:name="_Toc407613132"/>
      <w:bookmarkStart w:id="731" w:name="_Toc406595748"/>
      <w:bookmarkStart w:id="732" w:name="_Toc535397558"/>
      <w:r>
        <w:rPr>
          <w:rFonts w:ascii="Times New Roman" w:hAnsi="Times New Roman" w:cs="Times New Roman"/>
          <w:sz w:val="21"/>
          <w:szCs w:val="21"/>
        </w:rPr>
        <w:t>投标人应提交一份纸质正本“投标文件”、</w:t>
      </w:r>
      <w:r>
        <w:rPr>
          <w:rFonts w:hint="eastAsia" w:ascii="Times New Roman" w:hAnsi="Times New Roman" w:cs="Times New Roman"/>
          <w:sz w:val="21"/>
          <w:szCs w:val="21"/>
        </w:rPr>
        <w:t>四</w:t>
      </w:r>
      <w:r>
        <w:rPr>
          <w:rFonts w:ascii="Times New Roman" w:hAnsi="Times New Roman" w:cs="Times New Roman"/>
          <w:sz w:val="21"/>
          <w:szCs w:val="21"/>
        </w:rPr>
        <w:t>份纸质副本投标文件”和一份电子文档word版及pdf版本（光盘或U盘）。每份纸质投标文件封面的右上角应标明“正本”或“副本”。</w:t>
      </w:r>
      <w:bookmarkEnd w:id="723"/>
      <w:bookmarkEnd w:id="724"/>
      <w:bookmarkEnd w:id="725"/>
      <w:bookmarkEnd w:id="726"/>
      <w:bookmarkEnd w:id="727"/>
      <w:bookmarkEnd w:id="728"/>
      <w:bookmarkEnd w:id="729"/>
      <w:bookmarkEnd w:id="730"/>
      <w:bookmarkEnd w:id="731"/>
      <w:bookmarkEnd w:id="732"/>
    </w:p>
    <w:p w14:paraId="210BCB5A">
      <w:pPr>
        <w:pStyle w:val="63"/>
        <w:numPr>
          <w:ilvl w:val="1"/>
          <w:numId w:val="8"/>
        </w:numPr>
        <w:spacing w:line="360" w:lineRule="auto"/>
        <w:ind w:firstLineChars="0"/>
        <w:outlineLvl w:val="0"/>
        <w:rPr>
          <w:rFonts w:ascii="Times New Roman" w:hAnsi="Times New Roman" w:cs="Times New Roman"/>
          <w:sz w:val="21"/>
          <w:szCs w:val="21"/>
        </w:rPr>
      </w:pPr>
      <w:bookmarkStart w:id="733" w:name="_Toc26625"/>
      <w:bookmarkStart w:id="734" w:name="_Toc21114"/>
      <w:bookmarkStart w:id="735" w:name="_Toc13225465"/>
      <w:bookmarkStart w:id="736" w:name="_Toc134728888"/>
      <w:bookmarkStart w:id="737" w:name="_Toc15386233"/>
      <w:bookmarkStart w:id="738" w:name="_Toc407613133"/>
      <w:bookmarkStart w:id="739" w:name="_Toc164420785"/>
      <w:bookmarkStart w:id="740" w:name="_Toc406595749"/>
      <w:bookmarkStart w:id="741" w:name="_Toc407612764"/>
      <w:bookmarkStart w:id="742" w:name="_Toc535397559"/>
      <w:r>
        <w:rPr>
          <w:rFonts w:ascii="Times New Roman" w:hAnsi="Times New Roman" w:cs="Times New Roman"/>
          <w:sz w:val="21"/>
          <w:szCs w:val="21"/>
        </w:rPr>
        <w:t>投标人应将纸质正本、纸质副本和电子文档（光盘或U盘）密封，并标明招标编号、项目名称及正本、副本或电子文档等信息。</w:t>
      </w:r>
      <w:bookmarkEnd w:id="733"/>
      <w:bookmarkEnd w:id="734"/>
      <w:bookmarkEnd w:id="735"/>
      <w:bookmarkEnd w:id="736"/>
      <w:bookmarkEnd w:id="737"/>
      <w:bookmarkEnd w:id="738"/>
      <w:bookmarkEnd w:id="739"/>
      <w:bookmarkEnd w:id="740"/>
      <w:bookmarkEnd w:id="741"/>
      <w:bookmarkEnd w:id="742"/>
    </w:p>
    <w:p w14:paraId="5C9F23FB">
      <w:pPr>
        <w:pStyle w:val="63"/>
        <w:numPr>
          <w:ilvl w:val="1"/>
          <w:numId w:val="8"/>
        </w:numPr>
        <w:spacing w:line="360" w:lineRule="auto"/>
        <w:ind w:firstLineChars="0"/>
        <w:outlineLvl w:val="0"/>
        <w:rPr>
          <w:rFonts w:ascii="Times New Roman" w:hAnsi="Times New Roman" w:cs="Times New Roman"/>
          <w:sz w:val="21"/>
          <w:szCs w:val="21"/>
        </w:rPr>
      </w:pPr>
      <w:bookmarkStart w:id="743" w:name="_Toc407612765"/>
      <w:bookmarkStart w:id="744" w:name="_Toc164420786"/>
      <w:bookmarkStart w:id="745" w:name="_Toc407613134"/>
      <w:bookmarkStart w:id="746" w:name="_Toc6945"/>
      <w:bookmarkStart w:id="747" w:name="_Toc535397560"/>
      <w:bookmarkStart w:id="748" w:name="_Toc2723"/>
      <w:bookmarkStart w:id="749" w:name="_Toc15386234"/>
      <w:bookmarkStart w:id="750" w:name="_Toc13225466"/>
      <w:bookmarkStart w:id="751" w:name="_Toc134728889"/>
      <w:bookmarkStart w:id="752" w:name="_Toc406595750"/>
      <w:r>
        <w:rPr>
          <w:rFonts w:ascii="Times New Roman" w:hAnsi="Times New Roman" w:cs="Times New Roman"/>
          <w:sz w:val="21"/>
          <w:szCs w:val="21"/>
        </w:rPr>
        <w:t>为方便开标唱标，投标人应将报价一览表、投标保证金（</w:t>
      </w:r>
      <w:r>
        <w:rPr>
          <w:rFonts w:hint="eastAsia" w:ascii="Times New Roman" w:hAnsi="Times New Roman" w:cs="Times New Roman"/>
          <w:sz w:val="21"/>
          <w:szCs w:val="21"/>
        </w:rPr>
        <w:t>如有，</w:t>
      </w:r>
      <w:r>
        <w:rPr>
          <w:rFonts w:ascii="Times New Roman" w:hAnsi="Times New Roman" w:cs="Times New Roman"/>
          <w:sz w:val="21"/>
          <w:szCs w:val="21"/>
        </w:rPr>
        <w:t>投标保证金如是电汇，采用电汇底单复印件；如是网银，采用网银转账页面打印件）和投标优惠声明（如有）分别单独密封，与纸质正本、纸质副本和电子文档（光盘或U盘）分装，并作为投标文件的一部分同时递交。</w:t>
      </w:r>
      <w:bookmarkEnd w:id="743"/>
      <w:bookmarkEnd w:id="744"/>
      <w:bookmarkEnd w:id="745"/>
      <w:bookmarkEnd w:id="746"/>
      <w:bookmarkEnd w:id="747"/>
      <w:bookmarkEnd w:id="748"/>
      <w:bookmarkEnd w:id="749"/>
      <w:bookmarkEnd w:id="750"/>
      <w:bookmarkEnd w:id="751"/>
      <w:bookmarkEnd w:id="752"/>
    </w:p>
    <w:p w14:paraId="15BE15B2">
      <w:pPr>
        <w:pStyle w:val="63"/>
        <w:numPr>
          <w:ilvl w:val="1"/>
          <w:numId w:val="8"/>
        </w:numPr>
        <w:spacing w:line="360" w:lineRule="auto"/>
        <w:ind w:firstLineChars="0"/>
        <w:outlineLvl w:val="0"/>
        <w:rPr>
          <w:rFonts w:ascii="Times New Roman" w:hAnsi="Times New Roman" w:cs="Times New Roman"/>
          <w:sz w:val="21"/>
          <w:szCs w:val="21"/>
        </w:rPr>
      </w:pPr>
      <w:bookmarkStart w:id="753" w:name="_Toc407612766"/>
      <w:bookmarkStart w:id="754" w:name="_Toc13225467"/>
      <w:bookmarkStart w:id="755" w:name="_Toc134728890"/>
      <w:bookmarkStart w:id="756" w:name="_Toc164420787"/>
      <w:bookmarkStart w:id="757" w:name="_Toc406595751"/>
      <w:bookmarkStart w:id="758" w:name="_Toc23545"/>
      <w:bookmarkStart w:id="759" w:name="_Toc15386235"/>
      <w:bookmarkStart w:id="760" w:name="_Toc5830"/>
      <w:bookmarkStart w:id="761" w:name="_Toc535397561"/>
      <w:bookmarkStart w:id="762" w:name="_Toc407613135"/>
      <w:r>
        <w:rPr>
          <w:rFonts w:ascii="Times New Roman" w:hAnsi="Times New Roman" w:cs="Times New Roman"/>
          <w:sz w:val="21"/>
          <w:szCs w:val="21"/>
        </w:rPr>
        <w:t>每一密封信封上注明“于</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r>
        <w:rPr>
          <w:rFonts w:ascii="Times New Roman" w:hAnsi="Times New Roman" w:cs="Times New Roman"/>
          <w:sz w:val="21"/>
          <w:szCs w:val="21"/>
          <w:u w:val="single"/>
        </w:rPr>
        <w:t xml:space="preserve">    </w:t>
      </w:r>
      <w:r>
        <w:rPr>
          <w:rFonts w:ascii="Times New Roman" w:hAnsi="Times New Roman" w:cs="Times New Roman"/>
          <w:sz w:val="21"/>
          <w:szCs w:val="21"/>
        </w:rPr>
        <w:t>时之前（指招标文件中规定的开标日期及时间）不准启封”的字样。</w:t>
      </w:r>
      <w:bookmarkEnd w:id="753"/>
      <w:bookmarkEnd w:id="754"/>
      <w:bookmarkEnd w:id="755"/>
      <w:bookmarkEnd w:id="756"/>
      <w:bookmarkEnd w:id="757"/>
      <w:bookmarkEnd w:id="758"/>
      <w:bookmarkEnd w:id="759"/>
      <w:bookmarkEnd w:id="760"/>
      <w:bookmarkEnd w:id="761"/>
      <w:bookmarkEnd w:id="762"/>
    </w:p>
    <w:p w14:paraId="3AF04978">
      <w:pPr>
        <w:pStyle w:val="63"/>
        <w:numPr>
          <w:ilvl w:val="1"/>
          <w:numId w:val="8"/>
        </w:numPr>
        <w:spacing w:line="360" w:lineRule="auto"/>
        <w:ind w:firstLineChars="0"/>
        <w:outlineLvl w:val="0"/>
        <w:rPr>
          <w:rFonts w:ascii="Times New Roman" w:hAnsi="Times New Roman" w:cs="Times New Roman"/>
          <w:sz w:val="21"/>
          <w:szCs w:val="21"/>
        </w:rPr>
      </w:pPr>
      <w:bookmarkStart w:id="763" w:name="_Toc15386236"/>
      <w:bookmarkStart w:id="764" w:name="_Toc164420788"/>
      <w:bookmarkStart w:id="765" w:name="_Toc535397562"/>
      <w:bookmarkStart w:id="766" w:name="_Toc22005"/>
      <w:bookmarkStart w:id="767" w:name="_Toc134728891"/>
      <w:bookmarkStart w:id="768" w:name="_Toc407612767"/>
      <w:bookmarkStart w:id="769" w:name="_Toc18231"/>
      <w:bookmarkStart w:id="770" w:name="_Toc13225468"/>
      <w:bookmarkStart w:id="771" w:name="_Toc406595752"/>
      <w:bookmarkStart w:id="772" w:name="_Toc407613136"/>
      <w:r>
        <w:rPr>
          <w:rFonts w:ascii="Times New Roman" w:hAnsi="Times New Roman" w:cs="Times New Roman"/>
          <w:sz w:val="21"/>
          <w:szCs w:val="21"/>
        </w:rPr>
        <w:t>投标人应将投标文件按20.1-20.4中的规定密封和标记后，按投标邀请中规定的开标地点送达招标人。</w:t>
      </w:r>
      <w:bookmarkEnd w:id="763"/>
      <w:bookmarkEnd w:id="764"/>
      <w:bookmarkEnd w:id="765"/>
      <w:bookmarkEnd w:id="766"/>
      <w:bookmarkEnd w:id="767"/>
      <w:bookmarkEnd w:id="768"/>
      <w:bookmarkEnd w:id="769"/>
      <w:bookmarkEnd w:id="770"/>
      <w:bookmarkEnd w:id="771"/>
      <w:bookmarkEnd w:id="772"/>
    </w:p>
    <w:p w14:paraId="340D5A11">
      <w:pPr>
        <w:pStyle w:val="63"/>
        <w:numPr>
          <w:ilvl w:val="1"/>
          <w:numId w:val="8"/>
        </w:numPr>
        <w:spacing w:line="360" w:lineRule="auto"/>
        <w:ind w:firstLineChars="0"/>
        <w:outlineLvl w:val="0"/>
        <w:rPr>
          <w:rFonts w:ascii="Times New Roman" w:hAnsi="Times New Roman" w:cs="Times New Roman"/>
          <w:sz w:val="21"/>
          <w:szCs w:val="21"/>
        </w:rPr>
      </w:pPr>
      <w:bookmarkStart w:id="773" w:name="_Toc8007"/>
      <w:bookmarkStart w:id="774" w:name="_Toc406595753"/>
      <w:bookmarkStart w:id="775" w:name="_Toc535397563"/>
      <w:bookmarkStart w:id="776" w:name="_Toc134728892"/>
      <w:bookmarkStart w:id="777" w:name="_Toc15386237"/>
      <w:bookmarkStart w:id="778" w:name="_Toc164420789"/>
      <w:bookmarkStart w:id="779" w:name="_Toc13225469"/>
      <w:bookmarkStart w:id="780" w:name="_Toc407613137"/>
      <w:bookmarkStart w:id="781" w:name="_Toc407612768"/>
      <w:bookmarkStart w:id="782" w:name="_Toc4323"/>
      <w:r>
        <w:rPr>
          <w:rFonts w:ascii="Times New Roman" w:hAnsi="Times New Roman" w:cs="Times New Roman"/>
          <w:sz w:val="21"/>
          <w:szCs w:val="21"/>
        </w:rPr>
        <w:t>如果未按上述规定进行密封和标记，招标人对“投标文件”的提前拆封不负责任。</w:t>
      </w:r>
      <w:bookmarkEnd w:id="773"/>
      <w:bookmarkEnd w:id="774"/>
      <w:bookmarkEnd w:id="775"/>
      <w:bookmarkEnd w:id="776"/>
      <w:bookmarkEnd w:id="777"/>
      <w:bookmarkEnd w:id="778"/>
      <w:bookmarkEnd w:id="779"/>
      <w:bookmarkEnd w:id="780"/>
      <w:bookmarkEnd w:id="781"/>
      <w:bookmarkEnd w:id="782"/>
    </w:p>
    <w:p w14:paraId="29175AF9">
      <w:pPr>
        <w:pStyle w:val="63"/>
        <w:numPr>
          <w:ilvl w:val="1"/>
          <w:numId w:val="8"/>
        </w:numPr>
        <w:spacing w:line="360" w:lineRule="auto"/>
        <w:ind w:firstLineChars="0"/>
        <w:outlineLvl w:val="0"/>
        <w:rPr>
          <w:rFonts w:ascii="Times New Roman" w:hAnsi="Times New Roman" w:cs="Times New Roman"/>
          <w:sz w:val="21"/>
          <w:szCs w:val="21"/>
        </w:rPr>
      </w:pPr>
      <w:bookmarkStart w:id="783" w:name="_Toc406595754"/>
      <w:bookmarkStart w:id="784" w:name="_Toc2599"/>
      <w:bookmarkStart w:id="785" w:name="_Toc15386238"/>
      <w:bookmarkStart w:id="786" w:name="_Toc407613138"/>
      <w:bookmarkStart w:id="787" w:name="_Toc134728893"/>
      <w:bookmarkStart w:id="788" w:name="_Toc13225470"/>
      <w:bookmarkStart w:id="789" w:name="_Toc164420790"/>
      <w:bookmarkStart w:id="790" w:name="_Toc407612769"/>
      <w:bookmarkStart w:id="791" w:name="_Toc25371"/>
      <w:bookmarkStart w:id="792" w:name="_Toc535397564"/>
      <w:r>
        <w:rPr>
          <w:rFonts w:ascii="Times New Roman" w:hAnsi="Times New Roman" w:cs="Times New Roman"/>
          <w:sz w:val="21"/>
          <w:szCs w:val="21"/>
        </w:rPr>
        <w:t>由于不可抗拒的原因或无法控制的事件发生而导致投标文件包装的损坏或投标文件的损毁、丢失等，招标人将不负责任。</w:t>
      </w:r>
      <w:bookmarkEnd w:id="783"/>
      <w:bookmarkEnd w:id="784"/>
      <w:bookmarkEnd w:id="785"/>
      <w:bookmarkEnd w:id="786"/>
      <w:bookmarkEnd w:id="787"/>
      <w:bookmarkEnd w:id="788"/>
      <w:bookmarkEnd w:id="789"/>
      <w:bookmarkEnd w:id="790"/>
      <w:bookmarkEnd w:id="791"/>
      <w:bookmarkEnd w:id="792"/>
    </w:p>
    <w:p w14:paraId="587F8E23">
      <w:pPr>
        <w:pStyle w:val="63"/>
        <w:numPr>
          <w:ilvl w:val="1"/>
          <w:numId w:val="8"/>
        </w:numPr>
        <w:spacing w:line="360" w:lineRule="auto"/>
        <w:ind w:firstLineChars="0"/>
        <w:outlineLvl w:val="0"/>
        <w:rPr>
          <w:rFonts w:ascii="Times New Roman" w:hAnsi="Times New Roman" w:cs="Times New Roman"/>
          <w:sz w:val="21"/>
          <w:szCs w:val="21"/>
        </w:rPr>
      </w:pPr>
      <w:bookmarkStart w:id="793" w:name="_Toc407613139"/>
      <w:bookmarkStart w:id="794" w:name="_Toc13225471"/>
      <w:bookmarkStart w:id="795" w:name="_Toc15386239"/>
      <w:bookmarkStart w:id="796" w:name="_Toc406595755"/>
      <w:bookmarkStart w:id="797" w:name="_Toc29223"/>
      <w:bookmarkStart w:id="798" w:name="_Toc23301"/>
      <w:bookmarkStart w:id="799" w:name="_Toc407612770"/>
      <w:bookmarkStart w:id="800" w:name="_Toc164420791"/>
      <w:bookmarkStart w:id="801" w:name="_Toc134728894"/>
      <w:bookmarkStart w:id="802" w:name="_Toc535397565"/>
      <w:r>
        <w:rPr>
          <w:rFonts w:ascii="Times New Roman" w:hAnsi="Times New Roman" w:cs="Times New Roman"/>
          <w:sz w:val="21"/>
          <w:szCs w:val="21"/>
        </w:rPr>
        <w:t>招标人拒绝接受以电报、电话、传真、电子邮件形式的投标。</w:t>
      </w:r>
      <w:bookmarkEnd w:id="793"/>
      <w:bookmarkEnd w:id="794"/>
      <w:bookmarkEnd w:id="795"/>
      <w:bookmarkEnd w:id="796"/>
      <w:bookmarkEnd w:id="797"/>
      <w:bookmarkEnd w:id="798"/>
      <w:bookmarkEnd w:id="799"/>
      <w:bookmarkEnd w:id="800"/>
      <w:bookmarkEnd w:id="801"/>
      <w:bookmarkEnd w:id="802"/>
    </w:p>
    <w:p w14:paraId="47525FC9">
      <w:pPr>
        <w:pStyle w:val="63"/>
        <w:numPr>
          <w:ilvl w:val="0"/>
          <w:numId w:val="8"/>
        </w:numPr>
        <w:spacing w:line="360" w:lineRule="auto"/>
        <w:ind w:firstLineChars="0"/>
        <w:outlineLvl w:val="0"/>
        <w:rPr>
          <w:rFonts w:ascii="Times New Roman" w:hAnsi="Times New Roman" w:cs="Times New Roman"/>
          <w:b/>
          <w:bCs/>
          <w:sz w:val="21"/>
          <w:szCs w:val="21"/>
        </w:rPr>
      </w:pPr>
      <w:bookmarkStart w:id="803" w:name="_Toc134728895"/>
      <w:bookmarkStart w:id="804" w:name="_Toc15386240"/>
      <w:bookmarkStart w:id="805" w:name="_Toc406595756"/>
      <w:bookmarkStart w:id="806" w:name="_Toc535397566"/>
      <w:bookmarkStart w:id="807" w:name="_Toc29381"/>
      <w:bookmarkStart w:id="808" w:name="_Toc407612771"/>
      <w:bookmarkStart w:id="809" w:name="_Toc2287"/>
      <w:bookmarkStart w:id="810" w:name="_Toc407613140"/>
      <w:bookmarkStart w:id="811" w:name="_Toc164420792"/>
      <w:bookmarkStart w:id="812" w:name="_Toc13225472"/>
      <w:r>
        <w:rPr>
          <w:rFonts w:ascii="Times New Roman" w:hAnsi="Times New Roman" w:cs="Times New Roman"/>
          <w:b/>
          <w:bCs/>
          <w:sz w:val="21"/>
          <w:szCs w:val="21"/>
        </w:rPr>
        <w:t>递交投标文件的截止时间</w:t>
      </w:r>
      <w:bookmarkEnd w:id="803"/>
      <w:bookmarkEnd w:id="804"/>
      <w:bookmarkEnd w:id="805"/>
      <w:bookmarkEnd w:id="806"/>
      <w:bookmarkEnd w:id="807"/>
      <w:bookmarkEnd w:id="808"/>
      <w:bookmarkEnd w:id="809"/>
      <w:bookmarkEnd w:id="810"/>
      <w:bookmarkEnd w:id="811"/>
      <w:bookmarkEnd w:id="812"/>
    </w:p>
    <w:p w14:paraId="033CE02C">
      <w:pPr>
        <w:pStyle w:val="63"/>
        <w:numPr>
          <w:ilvl w:val="1"/>
          <w:numId w:val="8"/>
        </w:numPr>
        <w:spacing w:line="360" w:lineRule="auto"/>
        <w:ind w:firstLineChars="0"/>
        <w:outlineLvl w:val="0"/>
        <w:rPr>
          <w:rFonts w:ascii="Times New Roman" w:hAnsi="Times New Roman" w:cs="Times New Roman"/>
          <w:sz w:val="21"/>
          <w:szCs w:val="21"/>
        </w:rPr>
      </w:pPr>
      <w:bookmarkStart w:id="813" w:name="_Toc407613141"/>
      <w:bookmarkStart w:id="814" w:name="_Toc535397567"/>
      <w:bookmarkStart w:id="815" w:name="_Toc4097"/>
      <w:bookmarkStart w:id="816" w:name="_Toc15386241"/>
      <w:bookmarkStart w:id="817" w:name="_Toc407612772"/>
      <w:bookmarkStart w:id="818" w:name="_Toc14763"/>
      <w:bookmarkStart w:id="819" w:name="_Toc406595757"/>
      <w:bookmarkStart w:id="820" w:name="_Toc134728896"/>
      <w:bookmarkStart w:id="821" w:name="_Toc13225473"/>
      <w:bookmarkStart w:id="822" w:name="_Toc164420793"/>
      <w:r>
        <w:rPr>
          <w:rFonts w:ascii="Times New Roman" w:hAnsi="Times New Roman" w:cs="Times New Roman"/>
          <w:sz w:val="21"/>
          <w:szCs w:val="21"/>
        </w:rPr>
        <w:t>所有投标文件（包括一份纸质正本“投标文件”、</w:t>
      </w:r>
      <w:r>
        <w:rPr>
          <w:rFonts w:hint="eastAsia" w:ascii="Times New Roman" w:hAnsi="Times New Roman" w:cs="Times New Roman"/>
          <w:sz w:val="21"/>
          <w:szCs w:val="21"/>
        </w:rPr>
        <w:t>四</w:t>
      </w:r>
      <w:r>
        <w:rPr>
          <w:rFonts w:ascii="Times New Roman" w:hAnsi="Times New Roman" w:cs="Times New Roman"/>
          <w:sz w:val="21"/>
          <w:szCs w:val="21"/>
        </w:rPr>
        <w:t>份纸质副本“投标文件” 和一份电子文档（光盘或U盘）以及报价一览表、投标保证金和投标优惠声明）都必须按招标人在投标邀请中规定的投标截止时间之前送达招标人。</w:t>
      </w:r>
      <w:bookmarkEnd w:id="813"/>
      <w:bookmarkEnd w:id="814"/>
      <w:bookmarkEnd w:id="815"/>
      <w:bookmarkEnd w:id="816"/>
      <w:bookmarkEnd w:id="817"/>
      <w:bookmarkEnd w:id="818"/>
      <w:bookmarkEnd w:id="819"/>
      <w:bookmarkEnd w:id="820"/>
      <w:bookmarkEnd w:id="821"/>
      <w:bookmarkEnd w:id="822"/>
    </w:p>
    <w:p w14:paraId="45EA18ED">
      <w:pPr>
        <w:pStyle w:val="63"/>
        <w:numPr>
          <w:ilvl w:val="1"/>
          <w:numId w:val="8"/>
        </w:numPr>
        <w:spacing w:line="360" w:lineRule="auto"/>
        <w:ind w:firstLineChars="0"/>
        <w:outlineLvl w:val="0"/>
        <w:rPr>
          <w:rFonts w:ascii="Times New Roman" w:hAnsi="Times New Roman" w:cs="Times New Roman"/>
          <w:sz w:val="21"/>
          <w:szCs w:val="21"/>
        </w:rPr>
      </w:pPr>
      <w:bookmarkStart w:id="823" w:name="_Toc134728897"/>
      <w:bookmarkStart w:id="824" w:name="_Toc535397568"/>
      <w:bookmarkStart w:id="825" w:name="_Toc8712"/>
      <w:bookmarkStart w:id="826" w:name="_Toc164420794"/>
      <w:bookmarkStart w:id="827" w:name="_Toc407613142"/>
      <w:bookmarkStart w:id="828" w:name="_Toc406595758"/>
      <w:bookmarkStart w:id="829" w:name="_Toc25583"/>
      <w:bookmarkStart w:id="830" w:name="_Toc13225474"/>
      <w:bookmarkStart w:id="831" w:name="_Toc15386242"/>
      <w:bookmarkStart w:id="832" w:name="_Toc407612773"/>
      <w:r>
        <w:rPr>
          <w:rFonts w:ascii="Times New Roman" w:hAnsi="Times New Roman" w:cs="Times New Roman"/>
          <w:sz w:val="21"/>
          <w:szCs w:val="21"/>
        </w:rPr>
        <w:t>出现第7.3款因招标文件的修改推迟投标截止日期时，则按招标人修改通知规定的时间前递交。</w:t>
      </w:r>
      <w:bookmarkEnd w:id="823"/>
      <w:bookmarkEnd w:id="824"/>
      <w:bookmarkEnd w:id="825"/>
      <w:bookmarkEnd w:id="826"/>
      <w:bookmarkEnd w:id="827"/>
      <w:bookmarkEnd w:id="828"/>
      <w:bookmarkEnd w:id="829"/>
      <w:bookmarkEnd w:id="830"/>
      <w:bookmarkEnd w:id="831"/>
      <w:bookmarkEnd w:id="832"/>
    </w:p>
    <w:p w14:paraId="22172536">
      <w:pPr>
        <w:pStyle w:val="63"/>
        <w:numPr>
          <w:ilvl w:val="1"/>
          <w:numId w:val="8"/>
        </w:numPr>
        <w:spacing w:line="360" w:lineRule="auto"/>
        <w:ind w:firstLineChars="0"/>
        <w:outlineLvl w:val="0"/>
        <w:rPr>
          <w:rFonts w:ascii="Times New Roman" w:hAnsi="Times New Roman" w:cs="Times New Roman"/>
          <w:sz w:val="21"/>
          <w:szCs w:val="21"/>
        </w:rPr>
      </w:pPr>
      <w:bookmarkStart w:id="833" w:name="_Toc164420795"/>
      <w:bookmarkStart w:id="834" w:name="_Toc407612774"/>
      <w:bookmarkStart w:id="835" w:name="_Toc7342"/>
      <w:bookmarkStart w:id="836" w:name="_Toc535397569"/>
      <w:bookmarkStart w:id="837" w:name="_Toc134728898"/>
      <w:bookmarkStart w:id="838" w:name="_Toc13225475"/>
      <w:bookmarkStart w:id="839" w:name="_Toc10542"/>
      <w:bookmarkStart w:id="840" w:name="_Toc15386243"/>
      <w:bookmarkStart w:id="841" w:name="_Toc407613143"/>
      <w:bookmarkStart w:id="842" w:name="_Toc406595759"/>
      <w:r>
        <w:rPr>
          <w:rFonts w:ascii="Times New Roman" w:hAnsi="Times New Roman" w:cs="Times New Roman"/>
          <w:bCs/>
          <w:sz w:val="21"/>
          <w:szCs w:val="21"/>
        </w:rPr>
        <w:t>招标人将拒绝在投标截止时间后收到/递交的投标文件及未按</w:t>
      </w:r>
      <w:r>
        <w:rPr>
          <w:rFonts w:ascii="Times New Roman" w:hAnsi="Times New Roman" w:cs="Times New Roman"/>
          <w:sz w:val="21"/>
          <w:szCs w:val="21"/>
        </w:rPr>
        <w:t>20.2-20.4中的规定密封</w:t>
      </w:r>
      <w:r>
        <w:rPr>
          <w:rFonts w:ascii="Times New Roman" w:hAnsi="Times New Roman" w:cs="Times New Roman"/>
          <w:bCs/>
          <w:sz w:val="21"/>
          <w:szCs w:val="21"/>
        </w:rPr>
        <w:t>的投标文件。</w:t>
      </w:r>
      <w:bookmarkEnd w:id="833"/>
      <w:bookmarkEnd w:id="834"/>
      <w:bookmarkEnd w:id="835"/>
      <w:bookmarkEnd w:id="836"/>
      <w:bookmarkEnd w:id="837"/>
      <w:bookmarkEnd w:id="838"/>
      <w:bookmarkEnd w:id="839"/>
      <w:bookmarkEnd w:id="840"/>
      <w:bookmarkEnd w:id="841"/>
      <w:bookmarkEnd w:id="842"/>
    </w:p>
    <w:p w14:paraId="5154B3BC">
      <w:pPr>
        <w:pStyle w:val="63"/>
        <w:numPr>
          <w:ilvl w:val="0"/>
          <w:numId w:val="8"/>
        </w:numPr>
        <w:spacing w:line="360" w:lineRule="auto"/>
        <w:ind w:firstLineChars="0"/>
        <w:outlineLvl w:val="0"/>
        <w:rPr>
          <w:rFonts w:ascii="Times New Roman" w:hAnsi="Times New Roman" w:cs="Times New Roman"/>
          <w:b/>
          <w:bCs/>
          <w:sz w:val="21"/>
          <w:szCs w:val="21"/>
        </w:rPr>
      </w:pPr>
      <w:bookmarkStart w:id="843" w:name="_Toc15386244"/>
      <w:bookmarkStart w:id="844" w:name="_Toc535397570"/>
      <w:bookmarkStart w:id="845" w:name="_Toc11447"/>
      <w:bookmarkStart w:id="846" w:name="_Toc17659"/>
      <w:bookmarkStart w:id="847" w:name="_Toc13225476"/>
      <w:bookmarkStart w:id="848" w:name="_Toc134728899"/>
      <w:bookmarkStart w:id="849" w:name="_Toc406595760"/>
      <w:bookmarkStart w:id="850" w:name="_Toc407613144"/>
      <w:bookmarkStart w:id="851" w:name="_Toc407612775"/>
      <w:bookmarkStart w:id="852" w:name="_Toc164420796"/>
      <w:r>
        <w:rPr>
          <w:rFonts w:ascii="Times New Roman" w:hAnsi="Times New Roman" w:cs="Times New Roman"/>
          <w:b/>
          <w:bCs/>
          <w:sz w:val="21"/>
          <w:szCs w:val="21"/>
        </w:rPr>
        <w:t>投标文件的修改、补充、撤回和撤销</w:t>
      </w:r>
      <w:bookmarkEnd w:id="843"/>
      <w:bookmarkEnd w:id="844"/>
      <w:bookmarkEnd w:id="845"/>
      <w:bookmarkEnd w:id="846"/>
      <w:bookmarkEnd w:id="847"/>
      <w:bookmarkEnd w:id="848"/>
      <w:bookmarkEnd w:id="849"/>
      <w:bookmarkEnd w:id="850"/>
      <w:bookmarkEnd w:id="851"/>
      <w:bookmarkEnd w:id="852"/>
    </w:p>
    <w:p w14:paraId="0ACDDBF1">
      <w:pPr>
        <w:pStyle w:val="63"/>
        <w:numPr>
          <w:ilvl w:val="1"/>
          <w:numId w:val="8"/>
        </w:numPr>
        <w:spacing w:line="360" w:lineRule="auto"/>
        <w:ind w:firstLineChars="0"/>
        <w:outlineLvl w:val="0"/>
        <w:rPr>
          <w:rFonts w:ascii="Times New Roman" w:hAnsi="Times New Roman" w:cs="Times New Roman"/>
          <w:sz w:val="21"/>
          <w:szCs w:val="21"/>
        </w:rPr>
      </w:pPr>
      <w:bookmarkStart w:id="853" w:name="_Toc407613145"/>
      <w:bookmarkStart w:id="854" w:name="_Toc9502"/>
      <w:bookmarkStart w:id="855" w:name="_Toc13225477"/>
      <w:bookmarkStart w:id="856" w:name="_Toc406595761"/>
      <w:bookmarkStart w:id="857" w:name="_Toc15386245"/>
      <w:bookmarkStart w:id="858" w:name="_Toc10468"/>
      <w:bookmarkStart w:id="859" w:name="_Toc164420797"/>
      <w:bookmarkStart w:id="860" w:name="_Toc134728900"/>
      <w:bookmarkStart w:id="861" w:name="_Toc407612776"/>
      <w:bookmarkStart w:id="862" w:name="_Toc535397571"/>
      <w:r>
        <w:rPr>
          <w:rFonts w:ascii="Times New Roman" w:hAnsi="Times New Roman" w:cs="Times New Roman"/>
          <w:sz w:val="21"/>
          <w:szCs w:val="21"/>
        </w:rPr>
        <w:t>投标人在提交投标文件后可对其投标文件进行修改、补充或撤回，但必须有修改、补充或撤回的书面通知，且该通知需经投标人法定代表人签字或正式授权的投标人代表签字方为有效。</w:t>
      </w:r>
      <w:bookmarkEnd w:id="853"/>
      <w:bookmarkEnd w:id="854"/>
      <w:bookmarkEnd w:id="855"/>
      <w:bookmarkEnd w:id="856"/>
      <w:bookmarkEnd w:id="857"/>
      <w:bookmarkEnd w:id="858"/>
      <w:bookmarkEnd w:id="859"/>
      <w:bookmarkEnd w:id="860"/>
      <w:bookmarkEnd w:id="861"/>
      <w:bookmarkEnd w:id="862"/>
    </w:p>
    <w:p w14:paraId="3DCA0B01">
      <w:pPr>
        <w:pStyle w:val="63"/>
        <w:numPr>
          <w:ilvl w:val="1"/>
          <w:numId w:val="8"/>
        </w:numPr>
        <w:spacing w:line="360" w:lineRule="auto"/>
        <w:ind w:firstLineChars="0"/>
        <w:outlineLvl w:val="0"/>
        <w:rPr>
          <w:rFonts w:ascii="Times New Roman" w:hAnsi="Times New Roman" w:cs="Times New Roman"/>
          <w:sz w:val="21"/>
          <w:szCs w:val="21"/>
        </w:rPr>
      </w:pPr>
      <w:bookmarkStart w:id="863" w:name="_Toc134728901"/>
      <w:bookmarkStart w:id="864" w:name="_Toc535397572"/>
      <w:bookmarkStart w:id="865" w:name="_Toc2329"/>
      <w:bookmarkStart w:id="866" w:name="_Toc10598"/>
      <w:bookmarkStart w:id="867" w:name="_Toc406595762"/>
      <w:bookmarkStart w:id="868" w:name="_Toc164420798"/>
      <w:bookmarkStart w:id="869" w:name="_Toc407613146"/>
      <w:bookmarkStart w:id="870" w:name="_Toc407612777"/>
      <w:bookmarkStart w:id="871" w:name="_Toc13225478"/>
      <w:bookmarkStart w:id="872" w:name="_Toc15386246"/>
      <w:r>
        <w:rPr>
          <w:rFonts w:ascii="Times New Roman" w:hAnsi="Times New Roman" w:cs="Times New Roman"/>
          <w:sz w:val="21"/>
          <w:szCs w:val="21"/>
        </w:rPr>
        <w:t>在投标截止时间之后，投标人不得修改、补充或撤回其投标文件（评标委员会要求的澄清除外）。</w:t>
      </w:r>
      <w:bookmarkEnd w:id="863"/>
      <w:bookmarkEnd w:id="864"/>
      <w:bookmarkEnd w:id="865"/>
      <w:bookmarkEnd w:id="866"/>
      <w:bookmarkEnd w:id="867"/>
      <w:bookmarkEnd w:id="868"/>
      <w:bookmarkEnd w:id="869"/>
      <w:bookmarkEnd w:id="870"/>
      <w:bookmarkEnd w:id="871"/>
      <w:bookmarkEnd w:id="872"/>
    </w:p>
    <w:p w14:paraId="75E5C8F3">
      <w:pPr>
        <w:pStyle w:val="63"/>
        <w:numPr>
          <w:ilvl w:val="1"/>
          <w:numId w:val="8"/>
        </w:numPr>
        <w:spacing w:line="360" w:lineRule="auto"/>
        <w:ind w:firstLineChars="0"/>
        <w:outlineLvl w:val="0"/>
        <w:rPr>
          <w:rFonts w:ascii="Times New Roman" w:hAnsi="Times New Roman" w:cs="Times New Roman"/>
          <w:sz w:val="21"/>
          <w:szCs w:val="21"/>
        </w:rPr>
      </w:pPr>
      <w:bookmarkStart w:id="873" w:name="_Toc6937"/>
      <w:bookmarkStart w:id="874" w:name="_Toc535397573"/>
      <w:bookmarkStart w:id="875" w:name="_Toc13061"/>
      <w:bookmarkStart w:id="876" w:name="_Toc407612778"/>
      <w:bookmarkStart w:id="877" w:name="_Toc406595763"/>
      <w:bookmarkStart w:id="878" w:name="_Toc134728902"/>
      <w:bookmarkStart w:id="879" w:name="_Toc164420799"/>
      <w:bookmarkStart w:id="880" w:name="_Toc13225479"/>
      <w:bookmarkStart w:id="881" w:name="_Toc407613147"/>
      <w:bookmarkStart w:id="882" w:name="_Toc15386247"/>
      <w:r>
        <w:rPr>
          <w:rFonts w:ascii="Times New Roman" w:hAnsi="Times New Roman" w:cs="Times New Roman"/>
          <w:sz w:val="21"/>
          <w:szCs w:val="21"/>
        </w:rPr>
        <w:t>投标人不得在投标截止时间之后撤销其投标文件。</w:t>
      </w:r>
      <w:bookmarkEnd w:id="873"/>
      <w:bookmarkEnd w:id="874"/>
      <w:bookmarkEnd w:id="875"/>
      <w:bookmarkEnd w:id="876"/>
      <w:bookmarkEnd w:id="877"/>
      <w:bookmarkEnd w:id="878"/>
      <w:bookmarkEnd w:id="879"/>
      <w:bookmarkEnd w:id="880"/>
      <w:bookmarkEnd w:id="881"/>
      <w:bookmarkEnd w:id="882"/>
    </w:p>
    <w:p w14:paraId="1040378D">
      <w:pPr>
        <w:spacing w:line="360" w:lineRule="auto"/>
        <w:ind w:firstLine="420" w:firstLineChars="200"/>
        <w:rPr>
          <w:rFonts w:ascii="Times New Roman" w:hAnsi="Times New Roman" w:cs="Times New Roman"/>
          <w:sz w:val="21"/>
          <w:szCs w:val="21"/>
        </w:rPr>
      </w:pPr>
    </w:p>
    <w:p w14:paraId="063AD2AC">
      <w:pPr>
        <w:pStyle w:val="63"/>
        <w:numPr>
          <w:ilvl w:val="0"/>
          <w:numId w:val="7"/>
        </w:numPr>
        <w:spacing w:line="360" w:lineRule="auto"/>
        <w:ind w:left="0" w:firstLine="0" w:firstLineChars="0"/>
        <w:jc w:val="center"/>
        <w:outlineLvl w:val="0"/>
        <w:rPr>
          <w:rFonts w:ascii="Times New Roman" w:hAnsi="Times New Roman" w:cs="Times New Roman"/>
          <w:b/>
        </w:rPr>
      </w:pPr>
      <w:bookmarkStart w:id="883" w:name="_Toc17545"/>
      <w:bookmarkStart w:id="884" w:name="_Toc15192"/>
      <w:r>
        <w:rPr>
          <w:rFonts w:ascii="Times New Roman" w:hAnsi="Times New Roman" w:cs="Times New Roman"/>
          <w:b/>
        </w:rPr>
        <w:t>开标和评标</w:t>
      </w:r>
      <w:bookmarkEnd w:id="883"/>
      <w:bookmarkEnd w:id="884"/>
    </w:p>
    <w:p w14:paraId="284EEECC">
      <w:pPr>
        <w:pStyle w:val="63"/>
        <w:numPr>
          <w:ilvl w:val="0"/>
          <w:numId w:val="8"/>
        </w:numPr>
        <w:spacing w:line="360" w:lineRule="auto"/>
        <w:ind w:firstLineChars="0"/>
        <w:outlineLvl w:val="0"/>
        <w:rPr>
          <w:rFonts w:ascii="Times New Roman" w:hAnsi="Times New Roman" w:cs="Times New Roman"/>
          <w:b/>
          <w:bCs/>
          <w:sz w:val="21"/>
          <w:szCs w:val="21"/>
        </w:rPr>
      </w:pPr>
      <w:bookmarkStart w:id="885" w:name="_Toc407612780"/>
      <w:bookmarkStart w:id="886" w:name="_Toc1043"/>
      <w:bookmarkStart w:id="887" w:name="_Toc13225481"/>
      <w:bookmarkStart w:id="888" w:name="_Toc164420801"/>
      <w:bookmarkStart w:id="889" w:name="_Toc14604"/>
      <w:bookmarkStart w:id="890" w:name="_Toc407613149"/>
      <w:bookmarkStart w:id="891" w:name="_Toc15386249"/>
      <w:bookmarkStart w:id="892" w:name="_Toc134728904"/>
      <w:bookmarkStart w:id="893" w:name="_Toc406595765"/>
      <w:bookmarkStart w:id="894" w:name="_Toc535397575"/>
      <w:r>
        <w:rPr>
          <w:rFonts w:ascii="Times New Roman" w:hAnsi="Times New Roman" w:cs="Times New Roman"/>
          <w:b/>
          <w:bCs/>
          <w:sz w:val="21"/>
          <w:szCs w:val="21"/>
        </w:rPr>
        <w:t>开标</w:t>
      </w:r>
      <w:bookmarkEnd w:id="885"/>
      <w:bookmarkEnd w:id="886"/>
      <w:bookmarkEnd w:id="887"/>
      <w:bookmarkEnd w:id="888"/>
      <w:bookmarkEnd w:id="889"/>
      <w:bookmarkEnd w:id="890"/>
      <w:bookmarkEnd w:id="891"/>
      <w:bookmarkEnd w:id="892"/>
      <w:bookmarkEnd w:id="893"/>
      <w:bookmarkEnd w:id="894"/>
    </w:p>
    <w:p w14:paraId="353EBA2E">
      <w:pPr>
        <w:pStyle w:val="63"/>
        <w:numPr>
          <w:ilvl w:val="1"/>
          <w:numId w:val="8"/>
        </w:numPr>
        <w:spacing w:line="360" w:lineRule="auto"/>
        <w:ind w:firstLineChars="0"/>
        <w:outlineLvl w:val="0"/>
        <w:rPr>
          <w:rFonts w:ascii="Times New Roman" w:hAnsi="Times New Roman" w:cs="Times New Roman"/>
          <w:sz w:val="21"/>
          <w:szCs w:val="21"/>
        </w:rPr>
      </w:pPr>
      <w:bookmarkStart w:id="895" w:name="_Toc406595766"/>
      <w:bookmarkStart w:id="896" w:name="_Toc134728905"/>
      <w:bookmarkStart w:id="897" w:name="_Toc164420802"/>
      <w:bookmarkStart w:id="898" w:name="_Toc11155"/>
      <w:bookmarkStart w:id="899" w:name="_Toc535397576"/>
      <w:bookmarkStart w:id="900" w:name="_Toc16658"/>
      <w:bookmarkStart w:id="901" w:name="_Toc407613150"/>
      <w:bookmarkStart w:id="902" w:name="_Toc15386250"/>
      <w:bookmarkStart w:id="903" w:name="_Toc407612781"/>
      <w:bookmarkStart w:id="904" w:name="_Toc13225482"/>
      <w:r>
        <w:rPr>
          <w:rFonts w:ascii="Times New Roman" w:hAnsi="Times New Roman" w:cs="Times New Roman"/>
          <w:sz w:val="21"/>
          <w:szCs w:val="21"/>
        </w:rPr>
        <w:t>招标人在投标邀请书中规定的时间和地点开标。投标人派代表参加并签到。投标人因故不能派代表出席开标活动，事先应书面（信函、传真）通知招标人，并承诺默认开标结果。</w:t>
      </w:r>
      <w:bookmarkEnd w:id="895"/>
      <w:bookmarkEnd w:id="896"/>
      <w:bookmarkEnd w:id="897"/>
      <w:bookmarkEnd w:id="898"/>
      <w:bookmarkEnd w:id="899"/>
      <w:bookmarkEnd w:id="900"/>
      <w:bookmarkEnd w:id="901"/>
      <w:bookmarkEnd w:id="902"/>
      <w:bookmarkEnd w:id="903"/>
      <w:bookmarkEnd w:id="904"/>
    </w:p>
    <w:p w14:paraId="27D8FECD">
      <w:pPr>
        <w:pStyle w:val="63"/>
        <w:numPr>
          <w:ilvl w:val="1"/>
          <w:numId w:val="8"/>
        </w:numPr>
        <w:spacing w:line="360" w:lineRule="auto"/>
        <w:ind w:firstLineChars="0"/>
        <w:outlineLvl w:val="0"/>
        <w:rPr>
          <w:rFonts w:ascii="Times New Roman" w:hAnsi="Times New Roman" w:cs="Times New Roman"/>
          <w:sz w:val="21"/>
          <w:szCs w:val="21"/>
        </w:rPr>
      </w:pPr>
      <w:bookmarkStart w:id="905" w:name="_Toc30116"/>
      <w:bookmarkStart w:id="906" w:name="_Toc15386251"/>
      <w:bookmarkStart w:id="907" w:name="_Toc535397577"/>
      <w:bookmarkStart w:id="908" w:name="_Toc5644"/>
      <w:bookmarkStart w:id="909" w:name="_Toc13225483"/>
      <w:bookmarkStart w:id="910" w:name="_Toc134728906"/>
      <w:bookmarkStart w:id="911" w:name="_Toc164420803"/>
      <w:bookmarkStart w:id="912" w:name="_Toc406595767"/>
      <w:bookmarkStart w:id="913" w:name="_Toc407612782"/>
      <w:bookmarkStart w:id="914" w:name="_Toc407613151"/>
      <w:r>
        <w:rPr>
          <w:rFonts w:ascii="Times New Roman" w:hAnsi="Times New Roman" w:cs="Times New Roman"/>
          <w:sz w:val="21"/>
          <w:szCs w:val="21"/>
        </w:rPr>
        <w:t>开标仪式由招标代理机构组织并主持。由投标人或者其推选的代表检查投标文件的密封情况，也可以由招标人委托的公证机构检查并公证，确认无误后交由招标代理机构工作人员当众拆封，宣读所有在截止时间前收到投标文件的投标人名称、所投包号、投标价格、投标优惠声明（如有）、是否提交了投标保证金，以及投标文件的其他主要内容并加以记录，对于投标人在投标截止期前递交的投标声明，在开标时当众宣读，评标时有效。</w:t>
      </w:r>
      <w:bookmarkEnd w:id="905"/>
      <w:bookmarkEnd w:id="906"/>
      <w:bookmarkEnd w:id="907"/>
      <w:bookmarkEnd w:id="908"/>
      <w:bookmarkEnd w:id="909"/>
      <w:bookmarkEnd w:id="910"/>
      <w:bookmarkEnd w:id="911"/>
      <w:bookmarkEnd w:id="912"/>
      <w:bookmarkEnd w:id="913"/>
      <w:bookmarkEnd w:id="914"/>
    </w:p>
    <w:p w14:paraId="50CC3363">
      <w:pPr>
        <w:pStyle w:val="63"/>
        <w:numPr>
          <w:ilvl w:val="1"/>
          <w:numId w:val="8"/>
        </w:numPr>
        <w:spacing w:line="360" w:lineRule="auto"/>
        <w:ind w:firstLineChars="0"/>
        <w:outlineLvl w:val="0"/>
        <w:rPr>
          <w:rFonts w:ascii="Times New Roman" w:hAnsi="Times New Roman" w:cs="Times New Roman"/>
          <w:sz w:val="21"/>
          <w:szCs w:val="21"/>
        </w:rPr>
      </w:pPr>
      <w:bookmarkStart w:id="915" w:name="_Toc164420804"/>
      <w:bookmarkStart w:id="916" w:name="_Toc406595768"/>
      <w:bookmarkStart w:id="917" w:name="_Toc535397578"/>
      <w:bookmarkStart w:id="918" w:name="_Toc15603"/>
      <w:bookmarkStart w:id="919" w:name="_Toc16043"/>
      <w:bookmarkStart w:id="920" w:name="_Toc13225484"/>
      <w:bookmarkStart w:id="921" w:name="_Toc15386252"/>
      <w:bookmarkStart w:id="922" w:name="_Toc134728907"/>
      <w:bookmarkStart w:id="923" w:name="_Toc407613152"/>
      <w:bookmarkStart w:id="924" w:name="_Toc407612783"/>
      <w:r>
        <w:rPr>
          <w:rFonts w:ascii="Times New Roman" w:hAnsi="Times New Roman" w:cs="Times New Roman"/>
          <w:sz w:val="21"/>
          <w:szCs w:val="21"/>
        </w:rPr>
        <w:t>由招标代理机构对开标过程进行记录并由投标人代表签字确认。</w:t>
      </w:r>
      <w:bookmarkEnd w:id="915"/>
      <w:bookmarkEnd w:id="916"/>
      <w:bookmarkEnd w:id="917"/>
      <w:bookmarkEnd w:id="918"/>
      <w:bookmarkEnd w:id="919"/>
      <w:bookmarkEnd w:id="920"/>
      <w:bookmarkEnd w:id="921"/>
      <w:bookmarkEnd w:id="922"/>
      <w:bookmarkEnd w:id="923"/>
      <w:bookmarkEnd w:id="924"/>
    </w:p>
    <w:p w14:paraId="1E0C9330">
      <w:pPr>
        <w:pStyle w:val="63"/>
        <w:numPr>
          <w:ilvl w:val="1"/>
          <w:numId w:val="8"/>
        </w:numPr>
        <w:spacing w:line="360" w:lineRule="auto"/>
        <w:ind w:firstLineChars="0"/>
        <w:outlineLvl w:val="0"/>
        <w:rPr>
          <w:rFonts w:ascii="Times New Roman" w:hAnsi="Times New Roman" w:cs="Times New Roman"/>
          <w:sz w:val="21"/>
          <w:szCs w:val="21"/>
        </w:rPr>
      </w:pPr>
      <w:bookmarkStart w:id="925" w:name="_Toc246"/>
      <w:bookmarkStart w:id="926" w:name="_Toc164420805"/>
      <w:bookmarkStart w:id="927" w:name="_Toc13225485"/>
      <w:bookmarkStart w:id="928" w:name="_Toc535397579"/>
      <w:bookmarkStart w:id="929" w:name="_Toc134728908"/>
      <w:bookmarkStart w:id="930" w:name="_Toc15386253"/>
      <w:bookmarkStart w:id="931" w:name="_Toc407612784"/>
      <w:bookmarkStart w:id="932" w:name="_Toc407613153"/>
      <w:bookmarkStart w:id="933" w:name="_Toc16920"/>
      <w:bookmarkStart w:id="934" w:name="_Toc406595769"/>
      <w:r>
        <w:rPr>
          <w:rFonts w:ascii="Times New Roman" w:hAnsi="Times New Roman" w:cs="Times New Roman"/>
          <w:sz w:val="21"/>
          <w:szCs w:val="21"/>
        </w:rPr>
        <w:t>未宣读的投标价格、价格折扣等实质内容在评标时将不予考虑。</w:t>
      </w:r>
      <w:bookmarkEnd w:id="925"/>
      <w:bookmarkEnd w:id="926"/>
      <w:bookmarkEnd w:id="927"/>
      <w:bookmarkEnd w:id="928"/>
      <w:bookmarkEnd w:id="929"/>
      <w:bookmarkEnd w:id="930"/>
      <w:bookmarkEnd w:id="931"/>
      <w:bookmarkEnd w:id="932"/>
      <w:bookmarkEnd w:id="933"/>
      <w:bookmarkEnd w:id="934"/>
    </w:p>
    <w:p w14:paraId="2C5A3558">
      <w:pPr>
        <w:pStyle w:val="63"/>
        <w:numPr>
          <w:ilvl w:val="0"/>
          <w:numId w:val="8"/>
        </w:numPr>
        <w:spacing w:line="360" w:lineRule="auto"/>
        <w:ind w:firstLineChars="0"/>
        <w:outlineLvl w:val="0"/>
        <w:rPr>
          <w:rFonts w:ascii="Times New Roman" w:hAnsi="Times New Roman" w:cs="Times New Roman"/>
          <w:b/>
          <w:bCs/>
          <w:sz w:val="21"/>
          <w:szCs w:val="21"/>
        </w:rPr>
      </w:pPr>
      <w:bookmarkStart w:id="935" w:name="_Toc1995"/>
      <w:bookmarkStart w:id="936" w:name="_Toc134728909"/>
      <w:bookmarkStart w:id="937" w:name="_Toc9247"/>
      <w:bookmarkStart w:id="938" w:name="_Toc406595770"/>
      <w:bookmarkStart w:id="939" w:name="_Toc164420806"/>
      <w:bookmarkStart w:id="940" w:name="_Toc407613154"/>
      <w:bookmarkStart w:id="941" w:name="_Toc13225486"/>
      <w:bookmarkStart w:id="942" w:name="_Toc535397580"/>
      <w:bookmarkStart w:id="943" w:name="_Toc407612785"/>
      <w:bookmarkStart w:id="944" w:name="_Toc15386254"/>
      <w:r>
        <w:rPr>
          <w:rFonts w:ascii="Times New Roman" w:hAnsi="Times New Roman" w:cs="Times New Roman"/>
          <w:b/>
          <w:bCs/>
          <w:sz w:val="21"/>
          <w:szCs w:val="21"/>
        </w:rPr>
        <w:t>评标委员会</w:t>
      </w:r>
      <w:bookmarkEnd w:id="935"/>
      <w:bookmarkEnd w:id="936"/>
      <w:bookmarkEnd w:id="937"/>
      <w:bookmarkEnd w:id="938"/>
      <w:bookmarkEnd w:id="939"/>
      <w:bookmarkEnd w:id="940"/>
      <w:bookmarkEnd w:id="941"/>
      <w:bookmarkEnd w:id="942"/>
      <w:bookmarkEnd w:id="943"/>
      <w:bookmarkEnd w:id="944"/>
    </w:p>
    <w:p w14:paraId="7A6D7AF4">
      <w:pPr>
        <w:pStyle w:val="63"/>
        <w:numPr>
          <w:ilvl w:val="1"/>
          <w:numId w:val="8"/>
        </w:numPr>
        <w:spacing w:line="360" w:lineRule="auto"/>
        <w:ind w:firstLineChars="0"/>
        <w:outlineLvl w:val="0"/>
        <w:rPr>
          <w:rFonts w:ascii="Times New Roman" w:hAnsi="Times New Roman" w:cs="Times New Roman"/>
          <w:sz w:val="21"/>
          <w:szCs w:val="21"/>
        </w:rPr>
      </w:pPr>
      <w:bookmarkStart w:id="945" w:name="_Toc15386255"/>
      <w:bookmarkStart w:id="946" w:name="_Toc19601"/>
      <w:bookmarkStart w:id="947" w:name="_Toc164420807"/>
      <w:bookmarkStart w:id="948" w:name="_Toc535397581"/>
      <w:bookmarkStart w:id="949" w:name="_Toc22688"/>
      <w:bookmarkStart w:id="950" w:name="_Toc407612786"/>
      <w:bookmarkStart w:id="951" w:name="_Toc134728910"/>
      <w:bookmarkStart w:id="952" w:name="_Toc407613155"/>
      <w:bookmarkStart w:id="953" w:name="_Toc406595771"/>
      <w:bookmarkStart w:id="954" w:name="_Toc13225487"/>
      <w:r>
        <w:rPr>
          <w:rFonts w:ascii="Times New Roman" w:hAnsi="Times New Roman" w:cs="Times New Roman"/>
          <w:sz w:val="21"/>
          <w:szCs w:val="21"/>
        </w:rPr>
        <w:t>招标人将根据本次招标项目的特点和有关法律法规的要求组建评标委员会。</w:t>
      </w:r>
      <w:bookmarkEnd w:id="945"/>
      <w:bookmarkEnd w:id="946"/>
      <w:bookmarkEnd w:id="947"/>
      <w:bookmarkEnd w:id="948"/>
      <w:bookmarkEnd w:id="949"/>
      <w:bookmarkEnd w:id="950"/>
      <w:bookmarkEnd w:id="951"/>
      <w:bookmarkEnd w:id="952"/>
      <w:bookmarkEnd w:id="953"/>
      <w:bookmarkEnd w:id="954"/>
    </w:p>
    <w:p w14:paraId="2FA619B1">
      <w:pPr>
        <w:pStyle w:val="63"/>
        <w:numPr>
          <w:ilvl w:val="1"/>
          <w:numId w:val="8"/>
        </w:numPr>
        <w:spacing w:line="360" w:lineRule="auto"/>
        <w:ind w:firstLineChars="0"/>
        <w:outlineLvl w:val="0"/>
        <w:rPr>
          <w:rFonts w:ascii="Times New Roman" w:hAnsi="Times New Roman" w:cs="Times New Roman"/>
          <w:sz w:val="21"/>
          <w:szCs w:val="21"/>
        </w:rPr>
      </w:pPr>
      <w:bookmarkStart w:id="955" w:name="_Toc13225488"/>
      <w:bookmarkStart w:id="956" w:name="_Toc406595772"/>
      <w:bookmarkStart w:id="957" w:name="_Toc27995"/>
      <w:bookmarkStart w:id="958" w:name="_Toc164420808"/>
      <w:bookmarkStart w:id="959" w:name="_Toc535397582"/>
      <w:bookmarkStart w:id="960" w:name="_Toc407612787"/>
      <w:bookmarkStart w:id="961" w:name="_Toc134728911"/>
      <w:bookmarkStart w:id="962" w:name="_Toc15386256"/>
      <w:bookmarkStart w:id="963" w:name="_Toc407613156"/>
      <w:bookmarkStart w:id="964" w:name="_Toc23637"/>
      <w:r>
        <w:rPr>
          <w:rFonts w:ascii="Times New Roman" w:hAnsi="Times New Roman" w:cs="Times New Roman"/>
          <w:sz w:val="21"/>
          <w:szCs w:val="21"/>
        </w:rPr>
        <w:t>评标委员会成员由招标人的代表和有关技术、经济等方面的专家组成。</w:t>
      </w:r>
      <w:bookmarkEnd w:id="955"/>
      <w:bookmarkEnd w:id="956"/>
      <w:bookmarkEnd w:id="957"/>
      <w:bookmarkEnd w:id="958"/>
      <w:bookmarkEnd w:id="959"/>
      <w:bookmarkEnd w:id="960"/>
      <w:bookmarkEnd w:id="961"/>
      <w:bookmarkEnd w:id="962"/>
      <w:bookmarkEnd w:id="963"/>
      <w:bookmarkEnd w:id="964"/>
    </w:p>
    <w:p w14:paraId="1D6CD0C8">
      <w:pPr>
        <w:pStyle w:val="63"/>
        <w:numPr>
          <w:ilvl w:val="1"/>
          <w:numId w:val="8"/>
        </w:numPr>
        <w:spacing w:line="360" w:lineRule="auto"/>
        <w:ind w:firstLineChars="0"/>
        <w:outlineLvl w:val="0"/>
        <w:rPr>
          <w:rFonts w:ascii="Times New Roman" w:hAnsi="Times New Roman" w:cs="Times New Roman"/>
          <w:sz w:val="21"/>
          <w:szCs w:val="21"/>
        </w:rPr>
      </w:pPr>
      <w:bookmarkStart w:id="965" w:name="_Toc407613157"/>
      <w:bookmarkStart w:id="966" w:name="_Toc15370"/>
      <w:bookmarkStart w:id="967" w:name="_Toc134728912"/>
      <w:bookmarkStart w:id="968" w:name="_Toc406595773"/>
      <w:bookmarkStart w:id="969" w:name="_Toc164420809"/>
      <w:bookmarkStart w:id="970" w:name="_Toc15386257"/>
      <w:bookmarkStart w:id="971" w:name="_Toc27536"/>
      <w:bookmarkStart w:id="972" w:name="_Toc407612788"/>
      <w:bookmarkStart w:id="973" w:name="_Toc13225489"/>
      <w:bookmarkStart w:id="974" w:name="_Toc535397583"/>
      <w:r>
        <w:rPr>
          <w:rFonts w:ascii="Times New Roman" w:hAnsi="Times New Roman" w:cs="Times New Roman"/>
          <w:sz w:val="21"/>
          <w:szCs w:val="21"/>
        </w:rPr>
        <w:t>评标委员会对投标文件进行审查、质疑、评估和比较。</w:t>
      </w:r>
      <w:bookmarkEnd w:id="965"/>
      <w:bookmarkEnd w:id="966"/>
      <w:bookmarkEnd w:id="967"/>
      <w:bookmarkEnd w:id="968"/>
      <w:bookmarkEnd w:id="969"/>
      <w:bookmarkEnd w:id="970"/>
      <w:bookmarkEnd w:id="971"/>
      <w:bookmarkEnd w:id="972"/>
      <w:bookmarkEnd w:id="973"/>
      <w:bookmarkEnd w:id="974"/>
    </w:p>
    <w:p w14:paraId="640C781C">
      <w:pPr>
        <w:pStyle w:val="63"/>
        <w:numPr>
          <w:ilvl w:val="0"/>
          <w:numId w:val="8"/>
        </w:numPr>
        <w:spacing w:line="360" w:lineRule="auto"/>
        <w:ind w:firstLineChars="0"/>
        <w:outlineLvl w:val="0"/>
        <w:rPr>
          <w:rFonts w:ascii="Times New Roman" w:hAnsi="Times New Roman" w:cs="Times New Roman"/>
          <w:b/>
          <w:bCs/>
          <w:sz w:val="21"/>
          <w:szCs w:val="21"/>
        </w:rPr>
      </w:pPr>
      <w:bookmarkStart w:id="975" w:name="_Toc13348"/>
      <w:bookmarkStart w:id="976" w:name="_Toc406595774"/>
      <w:bookmarkStart w:id="977" w:name="_Toc407612789"/>
      <w:bookmarkStart w:id="978" w:name="_Toc616"/>
      <w:bookmarkStart w:id="979" w:name="_Toc407613158"/>
      <w:bookmarkStart w:id="980" w:name="_Toc15386258"/>
      <w:bookmarkStart w:id="981" w:name="_Toc164420810"/>
      <w:bookmarkStart w:id="982" w:name="_Toc134728913"/>
      <w:bookmarkStart w:id="983" w:name="_Toc13225490"/>
      <w:bookmarkStart w:id="984" w:name="_Toc535397584"/>
      <w:r>
        <w:rPr>
          <w:rFonts w:ascii="Times New Roman" w:hAnsi="Times New Roman" w:cs="Times New Roman"/>
          <w:b/>
          <w:bCs/>
          <w:sz w:val="21"/>
          <w:szCs w:val="21"/>
        </w:rPr>
        <w:t>对投标文件的审查和响应性的确定</w:t>
      </w:r>
      <w:bookmarkEnd w:id="975"/>
      <w:bookmarkEnd w:id="976"/>
      <w:bookmarkEnd w:id="977"/>
      <w:bookmarkEnd w:id="978"/>
      <w:bookmarkEnd w:id="979"/>
      <w:bookmarkEnd w:id="980"/>
      <w:bookmarkEnd w:id="981"/>
      <w:bookmarkEnd w:id="982"/>
      <w:bookmarkEnd w:id="983"/>
      <w:bookmarkEnd w:id="984"/>
    </w:p>
    <w:p w14:paraId="4C08F232">
      <w:pPr>
        <w:pStyle w:val="63"/>
        <w:numPr>
          <w:ilvl w:val="1"/>
          <w:numId w:val="8"/>
        </w:numPr>
        <w:spacing w:line="360" w:lineRule="auto"/>
        <w:ind w:firstLineChars="0"/>
        <w:outlineLvl w:val="0"/>
        <w:rPr>
          <w:rFonts w:ascii="Times New Roman" w:hAnsi="Times New Roman" w:cs="Times New Roman"/>
          <w:sz w:val="21"/>
          <w:szCs w:val="21"/>
        </w:rPr>
      </w:pPr>
      <w:bookmarkStart w:id="985" w:name="_Toc164420811"/>
      <w:bookmarkStart w:id="986" w:name="_Toc134728914"/>
      <w:bookmarkStart w:id="987" w:name="_Toc12266"/>
      <w:bookmarkStart w:id="988" w:name="_Toc15386259"/>
      <w:bookmarkStart w:id="989" w:name="_Toc407612790"/>
      <w:bookmarkStart w:id="990" w:name="_Toc535397585"/>
      <w:bookmarkStart w:id="991" w:name="_Toc407613159"/>
      <w:bookmarkStart w:id="992" w:name="_Toc13225491"/>
      <w:bookmarkStart w:id="993" w:name="_Toc406595775"/>
      <w:bookmarkStart w:id="994" w:name="_Toc16153"/>
      <w:r>
        <w:rPr>
          <w:rFonts w:ascii="Times New Roman" w:hAnsi="Times New Roman" w:cs="Times New Roman"/>
          <w:sz w:val="21"/>
          <w:szCs w:val="21"/>
        </w:rPr>
        <w:t>开标后，评标委员会将首先审查每一投标文件：</w:t>
      </w:r>
      <w:bookmarkEnd w:id="985"/>
      <w:bookmarkEnd w:id="986"/>
      <w:bookmarkEnd w:id="987"/>
      <w:bookmarkEnd w:id="988"/>
      <w:bookmarkEnd w:id="989"/>
      <w:bookmarkEnd w:id="990"/>
      <w:bookmarkEnd w:id="991"/>
      <w:bookmarkEnd w:id="992"/>
      <w:bookmarkEnd w:id="993"/>
      <w:bookmarkEnd w:id="994"/>
    </w:p>
    <w:p w14:paraId="105B063B">
      <w:pPr>
        <w:pStyle w:val="63"/>
        <w:numPr>
          <w:ilvl w:val="2"/>
          <w:numId w:val="8"/>
        </w:numPr>
        <w:spacing w:line="360" w:lineRule="auto"/>
        <w:ind w:firstLineChars="0"/>
        <w:outlineLvl w:val="0"/>
        <w:rPr>
          <w:rFonts w:ascii="Times New Roman" w:hAnsi="Times New Roman" w:cs="Times New Roman"/>
          <w:sz w:val="21"/>
          <w:szCs w:val="21"/>
        </w:rPr>
      </w:pPr>
      <w:bookmarkStart w:id="995" w:name="_Toc13225492"/>
      <w:bookmarkStart w:id="996" w:name="_Toc22942"/>
      <w:bookmarkStart w:id="997" w:name="_Toc407613160"/>
      <w:bookmarkStart w:id="998" w:name="_Toc15386260"/>
      <w:bookmarkStart w:id="999" w:name="_Toc164420812"/>
      <w:bookmarkStart w:id="1000" w:name="_Toc406595776"/>
      <w:bookmarkStart w:id="1001" w:name="_Toc407612791"/>
      <w:bookmarkStart w:id="1002" w:name="_Toc7665"/>
      <w:bookmarkStart w:id="1003" w:name="_Toc535397586"/>
      <w:bookmarkStart w:id="1004" w:name="_Toc134728915"/>
      <w:r>
        <w:rPr>
          <w:rFonts w:ascii="Times New Roman" w:hAnsi="Times New Roman" w:cs="Times New Roman"/>
          <w:sz w:val="21"/>
          <w:szCs w:val="21"/>
        </w:rPr>
        <w:t>是否满足本须知第3条合格投标人的标准</w:t>
      </w:r>
      <w:bookmarkEnd w:id="995"/>
      <w:bookmarkEnd w:id="996"/>
      <w:bookmarkEnd w:id="997"/>
      <w:bookmarkEnd w:id="998"/>
      <w:bookmarkEnd w:id="999"/>
      <w:bookmarkEnd w:id="1000"/>
      <w:bookmarkEnd w:id="1001"/>
      <w:bookmarkEnd w:id="1002"/>
      <w:bookmarkEnd w:id="1003"/>
      <w:bookmarkEnd w:id="1004"/>
    </w:p>
    <w:p w14:paraId="7C9802B1">
      <w:pPr>
        <w:pStyle w:val="63"/>
        <w:numPr>
          <w:ilvl w:val="2"/>
          <w:numId w:val="8"/>
        </w:numPr>
        <w:spacing w:line="360" w:lineRule="auto"/>
        <w:ind w:firstLineChars="0"/>
        <w:outlineLvl w:val="0"/>
        <w:rPr>
          <w:rFonts w:ascii="Times New Roman" w:hAnsi="Times New Roman" w:cs="Times New Roman"/>
          <w:sz w:val="21"/>
          <w:szCs w:val="21"/>
        </w:rPr>
      </w:pPr>
      <w:bookmarkStart w:id="1005" w:name="_Toc18980"/>
      <w:bookmarkStart w:id="1006" w:name="_Toc164420813"/>
      <w:bookmarkStart w:id="1007" w:name="_Toc407612792"/>
      <w:bookmarkStart w:id="1008" w:name="_Toc15386261"/>
      <w:bookmarkStart w:id="1009" w:name="_Toc134728916"/>
      <w:bookmarkStart w:id="1010" w:name="_Toc22607"/>
      <w:bookmarkStart w:id="1011" w:name="_Toc407613161"/>
      <w:bookmarkStart w:id="1012" w:name="_Toc13225493"/>
      <w:bookmarkStart w:id="1013" w:name="_Toc535397587"/>
      <w:bookmarkStart w:id="1014" w:name="_Toc406595777"/>
      <w:r>
        <w:rPr>
          <w:rFonts w:ascii="Times New Roman" w:hAnsi="Times New Roman" w:cs="Times New Roman"/>
          <w:sz w:val="21"/>
          <w:szCs w:val="21"/>
        </w:rPr>
        <w:t>是否完整。</w:t>
      </w:r>
      <w:bookmarkEnd w:id="1005"/>
      <w:bookmarkEnd w:id="1006"/>
      <w:bookmarkEnd w:id="1007"/>
      <w:bookmarkEnd w:id="1008"/>
      <w:bookmarkEnd w:id="1009"/>
      <w:bookmarkEnd w:id="1010"/>
      <w:bookmarkEnd w:id="1011"/>
      <w:bookmarkEnd w:id="1012"/>
      <w:bookmarkEnd w:id="1013"/>
      <w:bookmarkEnd w:id="1014"/>
    </w:p>
    <w:p w14:paraId="360A8092">
      <w:pPr>
        <w:pStyle w:val="63"/>
        <w:numPr>
          <w:ilvl w:val="2"/>
          <w:numId w:val="8"/>
        </w:numPr>
        <w:spacing w:line="360" w:lineRule="auto"/>
        <w:ind w:firstLineChars="0"/>
        <w:outlineLvl w:val="0"/>
        <w:rPr>
          <w:rFonts w:ascii="Times New Roman" w:hAnsi="Times New Roman" w:cs="Times New Roman"/>
          <w:sz w:val="21"/>
          <w:szCs w:val="21"/>
        </w:rPr>
      </w:pPr>
      <w:bookmarkStart w:id="1015" w:name="_Toc407613162"/>
      <w:bookmarkStart w:id="1016" w:name="_Toc407612793"/>
      <w:bookmarkStart w:id="1017" w:name="_Toc164420814"/>
      <w:bookmarkStart w:id="1018" w:name="_Toc12332"/>
      <w:bookmarkStart w:id="1019" w:name="_Toc406595778"/>
      <w:bookmarkStart w:id="1020" w:name="_Toc5349"/>
      <w:bookmarkStart w:id="1021" w:name="_Toc535397588"/>
      <w:bookmarkStart w:id="1022" w:name="_Toc13225494"/>
      <w:bookmarkStart w:id="1023" w:name="_Toc15386262"/>
      <w:bookmarkStart w:id="1024" w:name="_Toc134728917"/>
      <w:r>
        <w:rPr>
          <w:rFonts w:ascii="Times New Roman" w:hAnsi="Times New Roman" w:cs="Times New Roman"/>
          <w:sz w:val="21"/>
          <w:szCs w:val="21"/>
        </w:rPr>
        <w:t>是否正确签署有关文件。</w:t>
      </w:r>
      <w:bookmarkEnd w:id="1015"/>
      <w:bookmarkEnd w:id="1016"/>
      <w:bookmarkEnd w:id="1017"/>
      <w:bookmarkEnd w:id="1018"/>
      <w:bookmarkEnd w:id="1019"/>
      <w:bookmarkEnd w:id="1020"/>
      <w:bookmarkEnd w:id="1021"/>
      <w:bookmarkEnd w:id="1022"/>
      <w:bookmarkEnd w:id="1023"/>
      <w:bookmarkEnd w:id="1024"/>
    </w:p>
    <w:p w14:paraId="17265C59">
      <w:pPr>
        <w:pStyle w:val="63"/>
        <w:numPr>
          <w:ilvl w:val="2"/>
          <w:numId w:val="8"/>
        </w:numPr>
        <w:spacing w:line="360" w:lineRule="auto"/>
        <w:ind w:firstLineChars="0"/>
        <w:outlineLvl w:val="0"/>
        <w:rPr>
          <w:rFonts w:ascii="Times New Roman" w:hAnsi="Times New Roman" w:cs="Times New Roman"/>
          <w:sz w:val="21"/>
          <w:szCs w:val="21"/>
        </w:rPr>
      </w:pPr>
      <w:bookmarkStart w:id="1025" w:name="_Toc28672"/>
      <w:bookmarkStart w:id="1026" w:name="_Toc535397589"/>
      <w:bookmarkStart w:id="1027" w:name="_Toc134728918"/>
      <w:bookmarkStart w:id="1028" w:name="_Toc407612794"/>
      <w:bookmarkStart w:id="1029" w:name="_Toc406595779"/>
      <w:bookmarkStart w:id="1030" w:name="_Toc164420815"/>
      <w:bookmarkStart w:id="1031" w:name="_Toc12471"/>
      <w:bookmarkStart w:id="1032" w:name="_Toc407613163"/>
      <w:bookmarkStart w:id="1033" w:name="_Toc15386263"/>
      <w:bookmarkStart w:id="1034" w:name="_Toc13225495"/>
      <w:r>
        <w:rPr>
          <w:rFonts w:ascii="Times New Roman" w:hAnsi="Times New Roman" w:cs="Times New Roman"/>
          <w:sz w:val="21"/>
          <w:szCs w:val="21"/>
        </w:rPr>
        <w:t>是否提交了所要求的投标保证金。</w:t>
      </w:r>
      <w:bookmarkEnd w:id="1025"/>
      <w:bookmarkEnd w:id="1026"/>
      <w:bookmarkEnd w:id="1027"/>
      <w:bookmarkEnd w:id="1028"/>
      <w:bookmarkEnd w:id="1029"/>
      <w:bookmarkEnd w:id="1030"/>
      <w:bookmarkEnd w:id="1031"/>
      <w:bookmarkEnd w:id="1032"/>
      <w:bookmarkEnd w:id="1033"/>
      <w:bookmarkEnd w:id="1034"/>
    </w:p>
    <w:p w14:paraId="1A429258">
      <w:pPr>
        <w:pStyle w:val="63"/>
        <w:numPr>
          <w:ilvl w:val="2"/>
          <w:numId w:val="8"/>
        </w:numPr>
        <w:spacing w:line="360" w:lineRule="auto"/>
        <w:ind w:firstLineChars="0"/>
        <w:outlineLvl w:val="0"/>
        <w:rPr>
          <w:rFonts w:ascii="Times New Roman" w:hAnsi="Times New Roman" w:cs="Times New Roman"/>
          <w:sz w:val="21"/>
          <w:szCs w:val="21"/>
        </w:rPr>
      </w:pPr>
      <w:bookmarkStart w:id="1035" w:name="_Toc15386264"/>
      <w:bookmarkStart w:id="1036" w:name="_Toc407612795"/>
      <w:bookmarkStart w:id="1037" w:name="_Toc13225496"/>
      <w:bookmarkStart w:id="1038" w:name="_Toc406595780"/>
      <w:bookmarkStart w:id="1039" w:name="_Toc19175"/>
      <w:bookmarkStart w:id="1040" w:name="_Toc134728919"/>
      <w:bookmarkStart w:id="1041" w:name="_Toc407613164"/>
      <w:bookmarkStart w:id="1042" w:name="_Toc535397590"/>
      <w:bookmarkStart w:id="1043" w:name="_Toc164420816"/>
      <w:bookmarkStart w:id="1044" w:name="_Toc28745"/>
      <w:r>
        <w:rPr>
          <w:rFonts w:ascii="Times New Roman" w:hAnsi="Times New Roman" w:cs="Times New Roman"/>
          <w:sz w:val="21"/>
          <w:szCs w:val="21"/>
        </w:rPr>
        <w:t>是否实质上响应了招标文件的要求（包括所有的商务条款和技术要求）。</w:t>
      </w:r>
      <w:bookmarkEnd w:id="1035"/>
      <w:bookmarkEnd w:id="1036"/>
      <w:bookmarkEnd w:id="1037"/>
      <w:bookmarkEnd w:id="1038"/>
      <w:bookmarkEnd w:id="1039"/>
      <w:bookmarkEnd w:id="1040"/>
      <w:bookmarkEnd w:id="1041"/>
      <w:bookmarkEnd w:id="1042"/>
      <w:bookmarkEnd w:id="1043"/>
      <w:bookmarkEnd w:id="1044"/>
    </w:p>
    <w:p w14:paraId="0A89CCE3">
      <w:pPr>
        <w:pStyle w:val="63"/>
        <w:numPr>
          <w:ilvl w:val="1"/>
          <w:numId w:val="8"/>
        </w:numPr>
        <w:spacing w:line="360" w:lineRule="auto"/>
        <w:ind w:firstLineChars="0"/>
        <w:outlineLvl w:val="0"/>
        <w:rPr>
          <w:rFonts w:ascii="Times New Roman" w:hAnsi="Times New Roman" w:cs="Times New Roman"/>
          <w:sz w:val="21"/>
          <w:szCs w:val="21"/>
        </w:rPr>
      </w:pPr>
      <w:bookmarkStart w:id="1045" w:name="_Toc406595781"/>
      <w:bookmarkStart w:id="1046" w:name="_Toc19535"/>
      <w:bookmarkStart w:id="1047" w:name="_Toc134728920"/>
      <w:bookmarkStart w:id="1048" w:name="_Toc164420817"/>
      <w:bookmarkStart w:id="1049" w:name="_Toc407613165"/>
      <w:bookmarkStart w:id="1050" w:name="_Toc12178"/>
      <w:bookmarkStart w:id="1051" w:name="_Toc13225497"/>
      <w:bookmarkStart w:id="1052" w:name="_Toc535397591"/>
      <w:bookmarkStart w:id="1053" w:name="_Toc15386265"/>
      <w:bookmarkStart w:id="1054" w:name="_Toc407612796"/>
      <w:r>
        <w:rPr>
          <w:rFonts w:ascii="Times New Roman" w:hAnsi="Times New Roman" w:cs="Times New Roman"/>
          <w:sz w:val="21"/>
          <w:szCs w:val="21"/>
        </w:rPr>
        <w:t>评标委员会确定投标文件是否合格、完整和有效。</w:t>
      </w:r>
      <w:bookmarkEnd w:id="1045"/>
      <w:bookmarkEnd w:id="1046"/>
      <w:bookmarkEnd w:id="1047"/>
      <w:bookmarkEnd w:id="1048"/>
      <w:bookmarkEnd w:id="1049"/>
      <w:bookmarkEnd w:id="1050"/>
      <w:bookmarkEnd w:id="1051"/>
      <w:bookmarkEnd w:id="1052"/>
      <w:bookmarkEnd w:id="1053"/>
      <w:bookmarkEnd w:id="1054"/>
    </w:p>
    <w:p w14:paraId="58FE113D">
      <w:pPr>
        <w:pStyle w:val="63"/>
        <w:numPr>
          <w:ilvl w:val="1"/>
          <w:numId w:val="8"/>
        </w:numPr>
        <w:spacing w:line="360" w:lineRule="auto"/>
        <w:ind w:firstLineChars="0"/>
        <w:outlineLvl w:val="0"/>
        <w:rPr>
          <w:rFonts w:ascii="Times New Roman" w:hAnsi="Times New Roman" w:cs="Times New Roman"/>
          <w:sz w:val="21"/>
          <w:szCs w:val="21"/>
        </w:rPr>
      </w:pPr>
      <w:bookmarkStart w:id="1055" w:name="_Toc164420818"/>
      <w:bookmarkStart w:id="1056" w:name="_Toc407612797"/>
      <w:bookmarkStart w:id="1057" w:name="_Toc15386266"/>
      <w:bookmarkStart w:id="1058" w:name="_Toc535397592"/>
      <w:bookmarkStart w:id="1059" w:name="_Toc13225498"/>
      <w:bookmarkStart w:id="1060" w:name="_Toc407613166"/>
      <w:bookmarkStart w:id="1061" w:name="_Toc11738"/>
      <w:bookmarkStart w:id="1062" w:name="_Toc134728921"/>
      <w:bookmarkStart w:id="1063" w:name="_Toc4724"/>
      <w:bookmarkStart w:id="1064" w:name="_Toc406595782"/>
      <w:r>
        <w:rPr>
          <w:rFonts w:ascii="Times New Roman" w:hAnsi="Times New Roman" w:cs="Times New Roman"/>
          <w:sz w:val="21"/>
          <w:szCs w:val="21"/>
        </w:rPr>
        <w:t>实质上响应要求的投标文件，应该与招标文件的所有条款、条件和规范、要求相符，无重大偏离或保留。所谓重大偏离或保留是指：</w:t>
      </w:r>
      <w:bookmarkEnd w:id="1055"/>
      <w:bookmarkEnd w:id="1056"/>
      <w:bookmarkEnd w:id="1057"/>
      <w:bookmarkEnd w:id="1058"/>
      <w:bookmarkEnd w:id="1059"/>
      <w:bookmarkEnd w:id="1060"/>
      <w:bookmarkEnd w:id="1061"/>
      <w:bookmarkEnd w:id="1062"/>
      <w:bookmarkEnd w:id="1063"/>
      <w:bookmarkEnd w:id="1064"/>
    </w:p>
    <w:p w14:paraId="0EDCAA3C">
      <w:pPr>
        <w:pStyle w:val="63"/>
        <w:numPr>
          <w:ilvl w:val="2"/>
          <w:numId w:val="8"/>
        </w:numPr>
        <w:spacing w:line="360" w:lineRule="auto"/>
        <w:ind w:firstLineChars="0"/>
        <w:outlineLvl w:val="0"/>
        <w:rPr>
          <w:rFonts w:ascii="Times New Roman" w:hAnsi="Times New Roman" w:cs="Times New Roman"/>
          <w:sz w:val="21"/>
          <w:szCs w:val="21"/>
        </w:rPr>
      </w:pPr>
      <w:bookmarkStart w:id="1065" w:name="_Toc407612798"/>
      <w:bookmarkStart w:id="1066" w:name="_Toc406595783"/>
      <w:bookmarkStart w:id="1067" w:name="_Toc15386267"/>
      <w:bookmarkStart w:id="1068" w:name="_Toc535397593"/>
      <w:bookmarkStart w:id="1069" w:name="_Toc164420819"/>
      <w:bookmarkStart w:id="1070" w:name="_Toc13225499"/>
      <w:bookmarkStart w:id="1071" w:name="_Toc134728922"/>
      <w:bookmarkStart w:id="1072" w:name="_Toc407613167"/>
      <w:bookmarkStart w:id="1073" w:name="_Toc9226"/>
      <w:bookmarkStart w:id="1074" w:name="_Toc5858"/>
      <w:r>
        <w:rPr>
          <w:rFonts w:ascii="Times New Roman" w:hAnsi="Times New Roman" w:cs="Times New Roman"/>
          <w:sz w:val="21"/>
          <w:szCs w:val="21"/>
        </w:rPr>
        <w:t>影响到招标文件规定的供货范围、质量和性能等。</w:t>
      </w:r>
      <w:bookmarkEnd w:id="1065"/>
      <w:bookmarkEnd w:id="1066"/>
      <w:bookmarkEnd w:id="1067"/>
      <w:bookmarkEnd w:id="1068"/>
      <w:bookmarkEnd w:id="1069"/>
      <w:bookmarkEnd w:id="1070"/>
      <w:bookmarkEnd w:id="1071"/>
      <w:bookmarkEnd w:id="1072"/>
      <w:bookmarkEnd w:id="1073"/>
      <w:bookmarkEnd w:id="1074"/>
    </w:p>
    <w:p w14:paraId="24160A27">
      <w:pPr>
        <w:pStyle w:val="63"/>
        <w:numPr>
          <w:ilvl w:val="2"/>
          <w:numId w:val="8"/>
        </w:numPr>
        <w:spacing w:line="360" w:lineRule="auto"/>
        <w:ind w:firstLineChars="0"/>
        <w:outlineLvl w:val="0"/>
        <w:rPr>
          <w:rFonts w:ascii="Times New Roman" w:hAnsi="Times New Roman" w:cs="Times New Roman"/>
          <w:sz w:val="21"/>
          <w:szCs w:val="21"/>
        </w:rPr>
      </w:pPr>
      <w:bookmarkStart w:id="1075" w:name="_Toc13225500"/>
      <w:bookmarkStart w:id="1076" w:name="_Toc407612799"/>
      <w:bookmarkStart w:id="1077" w:name="_Toc406595784"/>
      <w:bookmarkStart w:id="1078" w:name="_Toc407613168"/>
      <w:bookmarkStart w:id="1079" w:name="_Toc164420820"/>
      <w:bookmarkStart w:id="1080" w:name="_Toc535397594"/>
      <w:bookmarkStart w:id="1081" w:name="_Toc13828"/>
      <w:bookmarkStart w:id="1082" w:name="_Toc11079"/>
      <w:bookmarkStart w:id="1083" w:name="_Toc134728923"/>
      <w:bookmarkStart w:id="1084" w:name="_Toc15386268"/>
      <w:r>
        <w:rPr>
          <w:rFonts w:ascii="Times New Roman" w:hAnsi="Times New Roman" w:cs="Times New Roman"/>
          <w:sz w:val="21"/>
          <w:szCs w:val="21"/>
        </w:rPr>
        <w:t>限制了招标人的权力和投标人的义务的规定。</w:t>
      </w:r>
      <w:bookmarkEnd w:id="1075"/>
      <w:bookmarkEnd w:id="1076"/>
      <w:bookmarkEnd w:id="1077"/>
      <w:bookmarkEnd w:id="1078"/>
      <w:bookmarkEnd w:id="1079"/>
      <w:bookmarkEnd w:id="1080"/>
      <w:bookmarkEnd w:id="1081"/>
      <w:bookmarkEnd w:id="1082"/>
      <w:bookmarkEnd w:id="1083"/>
      <w:bookmarkEnd w:id="1084"/>
    </w:p>
    <w:p w14:paraId="3DA99EFC">
      <w:pPr>
        <w:pStyle w:val="63"/>
        <w:numPr>
          <w:ilvl w:val="2"/>
          <w:numId w:val="8"/>
        </w:numPr>
        <w:spacing w:line="360" w:lineRule="auto"/>
        <w:ind w:firstLineChars="0"/>
        <w:outlineLvl w:val="0"/>
        <w:rPr>
          <w:rFonts w:ascii="Times New Roman" w:hAnsi="Times New Roman" w:cs="Times New Roman"/>
          <w:sz w:val="21"/>
          <w:szCs w:val="21"/>
        </w:rPr>
      </w:pPr>
      <w:bookmarkStart w:id="1085" w:name="_Toc24963"/>
      <w:bookmarkStart w:id="1086" w:name="_Toc407613169"/>
      <w:bookmarkStart w:id="1087" w:name="_Toc15386269"/>
      <w:bookmarkStart w:id="1088" w:name="_Toc134728924"/>
      <w:bookmarkStart w:id="1089" w:name="_Toc407612800"/>
      <w:bookmarkStart w:id="1090" w:name="_Toc164420821"/>
      <w:bookmarkStart w:id="1091" w:name="_Toc13225501"/>
      <w:bookmarkStart w:id="1092" w:name="_Toc406595785"/>
      <w:bookmarkStart w:id="1093" w:name="_Toc93"/>
      <w:bookmarkStart w:id="1094" w:name="_Toc535397595"/>
      <w:r>
        <w:rPr>
          <w:rFonts w:ascii="Times New Roman" w:hAnsi="Times New Roman" w:cs="Times New Roman"/>
          <w:sz w:val="21"/>
          <w:szCs w:val="21"/>
        </w:rPr>
        <w:t>纠正或保留这种偏离将会对提交了实质上响应招标文件要求的投标文件的其他投标人的竞争地位，产生不公正的影响。</w:t>
      </w:r>
      <w:bookmarkEnd w:id="1085"/>
      <w:bookmarkEnd w:id="1086"/>
      <w:bookmarkEnd w:id="1087"/>
      <w:bookmarkEnd w:id="1088"/>
      <w:bookmarkEnd w:id="1089"/>
      <w:bookmarkEnd w:id="1090"/>
      <w:bookmarkEnd w:id="1091"/>
      <w:bookmarkEnd w:id="1092"/>
      <w:bookmarkEnd w:id="1093"/>
      <w:bookmarkEnd w:id="1094"/>
    </w:p>
    <w:p w14:paraId="7DD96484">
      <w:pPr>
        <w:pStyle w:val="63"/>
        <w:numPr>
          <w:ilvl w:val="1"/>
          <w:numId w:val="8"/>
        </w:numPr>
        <w:spacing w:line="360" w:lineRule="auto"/>
        <w:ind w:firstLineChars="0"/>
        <w:outlineLvl w:val="0"/>
        <w:rPr>
          <w:rFonts w:ascii="Times New Roman" w:hAnsi="Times New Roman" w:cs="Times New Roman"/>
          <w:sz w:val="21"/>
          <w:szCs w:val="21"/>
        </w:rPr>
      </w:pPr>
      <w:bookmarkStart w:id="1095" w:name="_Toc18116"/>
      <w:bookmarkStart w:id="1096" w:name="_Toc13225502"/>
      <w:bookmarkStart w:id="1097" w:name="_Toc407612801"/>
      <w:bookmarkStart w:id="1098" w:name="_Toc15386270"/>
      <w:bookmarkStart w:id="1099" w:name="_Toc535397596"/>
      <w:bookmarkStart w:id="1100" w:name="_Toc407613170"/>
      <w:bookmarkStart w:id="1101" w:name="_Toc164420822"/>
      <w:bookmarkStart w:id="1102" w:name="_Toc406595786"/>
      <w:bookmarkStart w:id="1103" w:name="_Toc134728925"/>
      <w:bookmarkStart w:id="1104" w:name="_Toc6953"/>
      <w:r>
        <w:rPr>
          <w:rFonts w:ascii="Times New Roman" w:hAnsi="Times New Roman" w:cs="Times New Roman"/>
          <w:sz w:val="21"/>
          <w:szCs w:val="21"/>
        </w:rPr>
        <w:t>评标委员会将确定每一投标人是否对招标文件的要求做出了实质性的响应，而没有重大偏离或保留。</w:t>
      </w:r>
      <w:bookmarkEnd w:id="1095"/>
      <w:bookmarkEnd w:id="1096"/>
      <w:bookmarkEnd w:id="1097"/>
      <w:bookmarkEnd w:id="1098"/>
      <w:bookmarkEnd w:id="1099"/>
      <w:bookmarkEnd w:id="1100"/>
      <w:bookmarkEnd w:id="1101"/>
      <w:bookmarkEnd w:id="1102"/>
      <w:bookmarkEnd w:id="1103"/>
      <w:bookmarkEnd w:id="1104"/>
    </w:p>
    <w:p w14:paraId="0D8FEFAA">
      <w:pPr>
        <w:pStyle w:val="63"/>
        <w:numPr>
          <w:ilvl w:val="1"/>
          <w:numId w:val="8"/>
        </w:numPr>
        <w:spacing w:line="360" w:lineRule="auto"/>
        <w:ind w:firstLineChars="0"/>
        <w:outlineLvl w:val="0"/>
        <w:rPr>
          <w:rFonts w:ascii="Times New Roman" w:hAnsi="Times New Roman" w:cs="Times New Roman"/>
          <w:sz w:val="21"/>
          <w:szCs w:val="21"/>
        </w:rPr>
      </w:pPr>
      <w:bookmarkStart w:id="1105" w:name="_Toc22683"/>
      <w:bookmarkStart w:id="1106" w:name="_Toc407612802"/>
      <w:bookmarkStart w:id="1107" w:name="_Toc406595787"/>
      <w:bookmarkStart w:id="1108" w:name="_Toc134728926"/>
      <w:bookmarkStart w:id="1109" w:name="_Toc13225503"/>
      <w:bookmarkStart w:id="1110" w:name="_Toc407613171"/>
      <w:bookmarkStart w:id="1111" w:name="_Toc27945"/>
      <w:bookmarkStart w:id="1112" w:name="_Toc535397597"/>
      <w:bookmarkStart w:id="1113" w:name="_Toc15386271"/>
      <w:bookmarkStart w:id="1114" w:name="_Toc164420823"/>
      <w:r>
        <w:rPr>
          <w:rFonts w:ascii="Times New Roman" w:hAnsi="Times New Roman" w:cs="Times New Roman"/>
          <w:sz w:val="21"/>
          <w:szCs w:val="21"/>
        </w:rPr>
        <w:t>评标委员会有权拒绝被确定为非实质性响应的投标，投标人不能通过修正或撤销不符之处而使其投标成为实质性响应的投标。</w:t>
      </w:r>
      <w:bookmarkEnd w:id="1105"/>
      <w:bookmarkEnd w:id="1106"/>
      <w:bookmarkEnd w:id="1107"/>
      <w:bookmarkEnd w:id="1108"/>
      <w:bookmarkEnd w:id="1109"/>
      <w:bookmarkEnd w:id="1110"/>
      <w:bookmarkEnd w:id="1111"/>
      <w:bookmarkEnd w:id="1112"/>
      <w:bookmarkEnd w:id="1113"/>
      <w:bookmarkEnd w:id="1114"/>
    </w:p>
    <w:p w14:paraId="40298E31">
      <w:pPr>
        <w:pStyle w:val="63"/>
        <w:numPr>
          <w:ilvl w:val="1"/>
          <w:numId w:val="8"/>
        </w:numPr>
        <w:spacing w:line="360" w:lineRule="auto"/>
        <w:ind w:firstLineChars="0"/>
        <w:outlineLvl w:val="0"/>
        <w:rPr>
          <w:rFonts w:ascii="Times New Roman" w:hAnsi="Times New Roman" w:cs="Times New Roman"/>
          <w:sz w:val="21"/>
          <w:szCs w:val="21"/>
        </w:rPr>
      </w:pPr>
      <w:bookmarkStart w:id="1115" w:name="_Toc407613172"/>
      <w:bookmarkStart w:id="1116" w:name="_Toc134728927"/>
      <w:bookmarkStart w:id="1117" w:name="_Toc8902"/>
      <w:bookmarkStart w:id="1118" w:name="_Toc535397598"/>
      <w:bookmarkStart w:id="1119" w:name="_Toc164420824"/>
      <w:bookmarkStart w:id="1120" w:name="_Toc407612803"/>
      <w:bookmarkStart w:id="1121" w:name="_Toc13225504"/>
      <w:bookmarkStart w:id="1122" w:name="_Toc3929"/>
      <w:bookmarkStart w:id="1123" w:name="_Toc406595788"/>
      <w:bookmarkStart w:id="1124" w:name="_Toc15386272"/>
      <w:r>
        <w:rPr>
          <w:rFonts w:ascii="Times New Roman" w:hAnsi="Times New Roman" w:cs="Times New Roman"/>
          <w:sz w:val="21"/>
          <w:szCs w:val="21"/>
        </w:rPr>
        <w:t>评标委员会判断投标文件的响应性仅基于投标文件本身而不靠开标后的任何外部证据。</w:t>
      </w:r>
      <w:bookmarkEnd w:id="1115"/>
      <w:bookmarkEnd w:id="1116"/>
      <w:bookmarkEnd w:id="1117"/>
      <w:bookmarkEnd w:id="1118"/>
      <w:bookmarkEnd w:id="1119"/>
      <w:bookmarkEnd w:id="1120"/>
      <w:bookmarkEnd w:id="1121"/>
      <w:bookmarkEnd w:id="1122"/>
      <w:bookmarkEnd w:id="1123"/>
      <w:bookmarkEnd w:id="1124"/>
    </w:p>
    <w:p w14:paraId="2854FDEA">
      <w:pPr>
        <w:pStyle w:val="63"/>
        <w:numPr>
          <w:ilvl w:val="1"/>
          <w:numId w:val="8"/>
        </w:numPr>
        <w:spacing w:line="360" w:lineRule="auto"/>
        <w:ind w:firstLineChars="0"/>
        <w:outlineLvl w:val="0"/>
        <w:rPr>
          <w:rFonts w:ascii="Times New Roman" w:hAnsi="Times New Roman" w:cs="Times New Roman"/>
          <w:sz w:val="21"/>
          <w:szCs w:val="21"/>
        </w:rPr>
      </w:pPr>
      <w:bookmarkStart w:id="1125" w:name="_Toc407612804"/>
      <w:bookmarkStart w:id="1126" w:name="_Toc15386273"/>
      <w:bookmarkStart w:id="1127" w:name="_Toc8731"/>
      <w:bookmarkStart w:id="1128" w:name="_Toc407613173"/>
      <w:bookmarkStart w:id="1129" w:name="_Toc535397599"/>
      <w:bookmarkStart w:id="1130" w:name="_Toc13225505"/>
      <w:bookmarkStart w:id="1131" w:name="_Toc134728928"/>
      <w:bookmarkStart w:id="1132" w:name="_Toc164420825"/>
      <w:bookmarkStart w:id="1133" w:name="_Toc14255"/>
      <w:bookmarkStart w:id="1134" w:name="_Toc406595789"/>
      <w:r>
        <w:rPr>
          <w:rFonts w:ascii="Times New Roman" w:hAnsi="Times New Roman" w:cs="Times New Roman"/>
          <w:b/>
          <w:bCs/>
          <w:sz w:val="21"/>
          <w:szCs w:val="21"/>
        </w:rPr>
        <w:t>“投标文件”属下列情况之一的， 评标委员会有权将其作无效投标处理：</w:t>
      </w:r>
      <w:bookmarkEnd w:id="1125"/>
      <w:bookmarkEnd w:id="1126"/>
      <w:bookmarkEnd w:id="1127"/>
      <w:bookmarkEnd w:id="1128"/>
      <w:bookmarkEnd w:id="1129"/>
      <w:bookmarkEnd w:id="1130"/>
      <w:bookmarkEnd w:id="1131"/>
      <w:bookmarkEnd w:id="1132"/>
      <w:bookmarkEnd w:id="1133"/>
      <w:bookmarkEnd w:id="1134"/>
    </w:p>
    <w:p w14:paraId="40EF154C">
      <w:pPr>
        <w:pStyle w:val="63"/>
        <w:numPr>
          <w:ilvl w:val="2"/>
          <w:numId w:val="8"/>
        </w:numPr>
        <w:spacing w:line="360" w:lineRule="auto"/>
        <w:ind w:firstLineChars="0"/>
        <w:outlineLvl w:val="0"/>
        <w:rPr>
          <w:rFonts w:ascii="Times New Roman" w:hAnsi="Times New Roman" w:cs="Times New Roman"/>
          <w:sz w:val="21"/>
          <w:szCs w:val="21"/>
        </w:rPr>
      </w:pPr>
      <w:bookmarkStart w:id="1135" w:name="_Toc407613174"/>
      <w:bookmarkStart w:id="1136" w:name="_Toc134728929"/>
      <w:bookmarkStart w:id="1137" w:name="_Toc535397600"/>
      <w:bookmarkStart w:id="1138" w:name="_Toc407612805"/>
      <w:bookmarkStart w:id="1139" w:name="_Toc4499"/>
      <w:bookmarkStart w:id="1140" w:name="_Toc15386274"/>
      <w:bookmarkStart w:id="1141" w:name="_Toc28133"/>
      <w:bookmarkStart w:id="1142" w:name="_Toc406595790"/>
      <w:bookmarkStart w:id="1143" w:name="_Toc164420826"/>
      <w:bookmarkStart w:id="1144" w:name="_Toc13225506"/>
      <w:r>
        <w:rPr>
          <w:rFonts w:ascii="Times New Roman" w:hAnsi="Times New Roman" w:cs="Times New Roman"/>
          <w:sz w:val="21"/>
          <w:szCs w:val="21"/>
        </w:rPr>
        <w:t>投标有效期不足90天的。</w:t>
      </w:r>
      <w:bookmarkEnd w:id="1135"/>
      <w:bookmarkEnd w:id="1136"/>
      <w:bookmarkEnd w:id="1137"/>
      <w:bookmarkEnd w:id="1138"/>
      <w:bookmarkEnd w:id="1139"/>
      <w:bookmarkEnd w:id="1140"/>
      <w:bookmarkEnd w:id="1141"/>
      <w:bookmarkEnd w:id="1142"/>
      <w:bookmarkEnd w:id="1143"/>
      <w:bookmarkEnd w:id="1144"/>
    </w:p>
    <w:p w14:paraId="13B21F9F">
      <w:pPr>
        <w:pStyle w:val="63"/>
        <w:numPr>
          <w:ilvl w:val="2"/>
          <w:numId w:val="8"/>
        </w:numPr>
        <w:spacing w:line="360" w:lineRule="auto"/>
        <w:ind w:firstLineChars="0"/>
        <w:outlineLvl w:val="0"/>
        <w:rPr>
          <w:rFonts w:ascii="Times New Roman" w:hAnsi="Times New Roman" w:cs="Times New Roman"/>
          <w:sz w:val="21"/>
          <w:szCs w:val="21"/>
        </w:rPr>
      </w:pPr>
      <w:bookmarkStart w:id="1145" w:name="_Toc15386275"/>
      <w:bookmarkStart w:id="1146" w:name="_Toc407612806"/>
      <w:bookmarkStart w:id="1147" w:name="_Toc16095"/>
      <w:bookmarkStart w:id="1148" w:name="_Toc164420827"/>
      <w:bookmarkStart w:id="1149" w:name="_Toc20709"/>
      <w:bookmarkStart w:id="1150" w:name="_Toc406595791"/>
      <w:bookmarkStart w:id="1151" w:name="_Toc13225507"/>
      <w:bookmarkStart w:id="1152" w:name="_Toc407613175"/>
      <w:bookmarkStart w:id="1153" w:name="_Toc134728930"/>
      <w:bookmarkStart w:id="1154" w:name="_Toc535397601"/>
      <w:r>
        <w:rPr>
          <w:rFonts w:ascii="Times New Roman" w:hAnsi="Times New Roman" w:cs="Times New Roman"/>
          <w:bCs/>
          <w:sz w:val="21"/>
          <w:szCs w:val="21"/>
        </w:rPr>
        <w:t>不满足合格投标人要求或资格证明文件不全的。</w:t>
      </w:r>
      <w:bookmarkEnd w:id="1145"/>
      <w:bookmarkEnd w:id="1146"/>
      <w:bookmarkEnd w:id="1147"/>
      <w:bookmarkEnd w:id="1148"/>
      <w:bookmarkEnd w:id="1149"/>
      <w:bookmarkEnd w:id="1150"/>
      <w:bookmarkEnd w:id="1151"/>
      <w:bookmarkEnd w:id="1152"/>
      <w:bookmarkEnd w:id="1153"/>
      <w:bookmarkEnd w:id="1154"/>
    </w:p>
    <w:p w14:paraId="34E55F59">
      <w:pPr>
        <w:pStyle w:val="63"/>
        <w:numPr>
          <w:ilvl w:val="2"/>
          <w:numId w:val="8"/>
        </w:numPr>
        <w:spacing w:line="360" w:lineRule="auto"/>
        <w:ind w:firstLineChars="0"/>
        <w:outlineLvl w:val="0"/>
        <w:rPr>
          <w:rFonts w:ascii="Times New Roman" w:hAnsi="Times New Roman" w:cs="Times New Roman"/>
          <w:sz w:val="21"/>
          <w:szCs w:val="21"/>
        </w:rPr>
      </w:pPr>
      <w:bookmarkStart w:id="1155" w:name="_Toc15386276"/>
      <w:bookmarkStart w:id="1156" w:name="_Toc14801"/>
      <w:bookmarkStart w:id="1157" w:name="_Toc407612807"/>
      <w:bookmarkStart w:id="1158" w:name="_Toc406595792"/>
      <w:bookmarkStart w:id="1159" w:name="_Toc6895"/>
      <w:bookmarkStart w:id="1160" w:name="_Toc164420828"/>
      <w:bookmarkStart w:id="1161" w:name="_Toc535397602"/>
      <w:bookmarkStart w:id="1162" w:name="_Toc134728931"/>
      <w:bookmarkStart w:id="1163" w:name="_Toc13225508"/>
      <w:bookmarkStart w:id="1164" w:name="_Toc407613176"/>
      <w:r>
        <w:rPr>
          <w:rFonts w:ascii="Times New Roman" w:hAnsi="Times New Roman" w:cs="Times New Roman"/>
          <w:bCs/>
          <w:sz w:val="21"/>
          <w:szCs w:val="21"/>
        </w:rPr>
        <w:t>未有效提交投标保证金的。</w:t>
      </w:r>
      <w:bookmarkEnd w:id="1155"/>
      <w:bookmarkEnd w:id="1156"/>
      <w:bookmarkEnd w:id="1157"/>
      <w:bookmarkEnd w:id="1158"/>
      <w:bookmarkEnd w:id="1159"/>
      <w:bookmarkEnd w:id="1160"/>
      <w:bookmarkEnd w:id="1161"/>
      <w:bookmarkEnd w:id="1162"/>
      <w:bookmarkEnd w:id="1163"/>
      <w:bookmarkEnd w:id="1164"/>
    </w:p>
    <w:p w14:paraId="26F82A60">
      <w:pPr>
        <w:pStyle w:val="63"/>
        <w:numPr>
          <w:ilvl w:val="2"/>
          <w:numId w:val="8"/>
        </w:numPr>
        <w:spacing w:line="360" w:lineRule="auto"/>
        <w:ind w:firstLineChars="0"/>
        <w:outlineLvl w:val="0"/>
        <w:rPr>
          <w:rFonts w:ascii="Times New Roman" w:hAnsi="Times New Roman" w:cs="Times New Roman"/>
          <w:sz w:val="21"/>
          <w:szCs w:val="21"/>
        </w:rPr>
      </w:pPr>
      <w:bookmarkStart w:id="1165" w:name="_Toc20799"/>
      <w:bookmarkStart w:id="1166" w:name="_Toc406595793"/>
      <w:bookmarkStart w:id="1167" w:name="_Toc164420829"/>
      <w:bookmarkStart w:id="1168" w:name="_Toc134728932"/>
      <w:bookmarkStart w:id="1169" w:name="_Toc535397603"/>
      <w:bookmarkStart w:id="1170" w:name="_Toc15386277"/>
      <w:bookmarkStart w:id="1171" w:name="_Toc13225509"/>
      <w:bookmarkStart w:id="1172" w:name="_Toc407612808"/>
      <w:bookmarkStart w:id="1173" w:name="_Toc25928"/>
      <w:bookmarkStart w:id="1174" w:name="_Toc407613177"/>
      <w:r>
        <w:rPr>
          <w:rFonts w:ascii="Times New Roman" w:hAnsi="Times New Roman" w:cs="Times New Roman"/>
          <w:bCs/>
          <w:sz w:val="21"/>
          <w:szCs w:val="21"/>
        </w:rPr>
        <w:t>未按要求加盖投标人公章的。</w:t>
      </w:r>
      <w:bookmarkEnd w:id="1165"/>
      <w:bookmarkEnd w:id="1166"/>
      <w:bookmarkEnd w:id="1167"/>
      <w:bookmarkEnd w:id="1168"/>
      <w:bookmarkEnd w:id="1169"/>
      <w:bookmarkEnd w:id="1170"/>
      <w:bookmarkEnd w:id="1171"/>
      <w:bookmarkEnd w:id="1172"/>
      <w:bookmarkEnd w:id="1173"/>
      <w:bookmarkEnd w:id="1174"/>
    </w:p>
    <w:p w14:paraId="33E48B87">
      <w:pPr>
        <w:pStyle w:val="63"/>
        <w:numPr>
          <w:ilvl w:val="2"/>
          <w:numId w:val="8"/>
        </w:numPr>
        <w:spacing w:line="360" w:lineRule="auto"/>
        <w:ind w:firstLineChars="0"/>
        <w:outlineLvl w:val="0"/>
        <w:rPr>
          <w:rFonts w:ascii="Times New Roman" w:hAnsi="Times New Roman" w:cs="Times New Roman"/>
          <w:sz w:val="21"/>
          <w:szCs w:val="21"/>
        </w:rPr>
      </w:pPr>
      <w:bookmarkStart w:id="1175" w:name="_Toc11188"/>
      <w:bookmarkStart w:id="1176" w:name="_Toc15386278"/>
      <w:bookmarkStart w:id="1177" w:name="_Toc535397604"/>
      <w:bookmarkStart w:id="1178" w:name="_Toc13225510"/>
      <w:bookmarkStart w:id="1179" w:name="_Toc407613178"/>
      <w:bookmarkStart w:id="1180" w:name="_Toc406595794"/>
      <w:bookmarkStart w:id="1181" w:name="_Toc7210"/>
      <w:bookmarkStart w:id="1182" w:name="_Toc134728933"/>
      <w:bookmarkStart w:id="1183" w:name="_Toc407612809"/>
      <w:bookmarkStart w:id="1184" w:name="_Toc164420830"/>
      <w:r>
        <w:rPr>
          <w:rFonts w:ascii="Times New Roman" w:hAnsi="Times New Roman" w:cs="Times New Roman"/>
          <w:bCs/>
          <w:sz w:val="21"/>
          <w:szCs w:val="21"/>
        </w:rPr>
        <w:t>无法定代表人或其授权代表签字的，或签字人无法定代表人</w:t>
      </w:r>
      <w:r>
        <w:rPr>
          <w:rFonts w:ascii="Times New Roman" w:hAnsi="Times New Roman" w:cs="Times New Roman"/>
          <w:sz w:val="21"/>
          <w:szCs w:val="21"/>
        </w:rPr>
        <w:t>授权的</w:t>
      </w:r>
      <w:r>
        <w:rPr>
          <w:rFonts w:ascii="Times New Roman" w:hAnsi="Times New Roman" w:cs="Times New Roman"/>
          <w:bCs/>
          <w:sz w:val="21"/>
          <w:szCs w:val="21"/>
        </w:rPr>
        <w:t>。</w:t>
      </w:r>
      <w:bookmarkEnd w:id="1175"/>
      <w:bookmarkEnd w:id="1176"/>
      <w:bookmarkEnd w:id="1177"/>
      <w:bookmarkEnd w:id="1178"/>
      <w:bookmarkEnd w:id="1179"/>
      <w:bookmarkEnd w:id="1180"/>
      <w:bookmarkEnd w:id="1181"/>
      <w:bookmarkEnd w:id="1182"/>
      <w:bookmarkEnd w:id="1183"/>
      <w:bookmarkEnd w:id="1184"/>
    </w:p>
    <w:p w14:paraId="703DECFC">
      <w:pPr>
        <w:pStyle w:val="63"/>
        <w:numPr>
          <w:ilvl w:val="2"/>
          <w:numId w:val="8"/>
        </w:numPr>
        <w:spacing w:line="360" w:lineRule="auto"/>
        <w:ind w:firstLineChars="0"/>
        <w:outlineLvl w:val="0"/>
        <w:rPr>
          <w:rFonts w:ascii="Times New Roman" w:hAnsi="Times New Roman" w:cs="Times New Roman"/>
          <w:sz w:val="21"/>
          <w:szCs w:val="21"/>
        </w:rPr>
      </w:pPr>
      <w:bookmarkStart w:id="1185" w:name="_Toc134728934"/>
      <w:bookmarkStart w:id="1186" w:name="_Toc535397605"/>
      <w:bookmarkStart w:id="1187" w:name="_Toc164420831"/>
      <w:bookmarkStart w:id="1188" w:name="_Toc24865"/>
      <w:bookmarkStart w:id="1189" w:name="_Toc406595795"/>
      <w:bookmarkStart w:id="1190" w:name="_Toc407613179"/>
      <w:bookmarkStart w:id="1191" w:name="_Toc407612810"/>
      <w:bookmarkStart w:id="1192" w:name="_Toc13225511"/>
      <w:bookmarkStart w:id="1193" w:name="_Toc15386279"/>
      <w:bookmarkStart w:id="1194" w:name="_Toc13337"/>
      <w:r>
        <w:rPr>
          <w:rFonts w:ascii="Times New Roman" w:hAnsi="Times New Roman" w:cs="Times New Roman"/>
          <w:bCs/>
          <w:sz w:val="21"/>
          <w:szCs w:val="21"/>
        </w:rPr>
        <w:t>未按要求签字的。</w:t>
      </w:r>
      <w:bookmarkEnd w:id="1185"/>
      <w:bookmarkEnd w:id="1186"/>
      <w:bookmarkEnd w:id="1187"/>
      <w:bookmarkEnd w:id="1188"/>
      <w:bookmarkEnd w:id="1189"/>
      <w:bookmarkEnd w:id="1190"/>
      <w:bookmarkEnd w:id="1191"/>
      <w:bookmarkEnd w:id="1192"/>
      <w:bookmarkEnd w:id="1193"/>
      <w:bookmarkEnd w:id="1194"/>
    </w:p>
    <w:p w14:paraId="12E448E4">
      <w:pPr>
        <w:pStyle w:val="63"/>
        <w:numPr>
          <w:ilvl w:val="2"/>
          <w:numId w:val="8"/>
        </w:numPr>
        <w:spacing w:line="360" w:lineRule="auto"/>
        <w:ind w:firstLineChars="0"/>
        <w:outlineLvl w:val="0"/>
        <w:rPr>
          <w:rFonts w:ascii="Times New Roman" w:hAnsi="Times New Roman" w:cs="Times New Roman"/>
          <w:sz w:val="21"/>
          <w:szCs w:val="21"/>
        </w:rPr>
      </w:pPr>
      <w:bookmarkStart w:id="1195" w:name="_Toc21782"/>
      <w:bookmarkStart w:id="1196" w:name="_Toc134728935"/>
      <w:bookmarkStart w:id="1197" w:name="_Toc407613180"/>
      <w:bookmarkStart w:id="1198" w:name="_Toc15386280"/>
      <w:bookmarkStart w:id="1199" w:name="_Toc164420832"/>
      <w:bookmarkStart w:id="1200" w:name="_Toc535397606"/>
      <w:bookmarkStart w:id="1201" w:name="_Toc406595796"/>
      <w:bookmarkStart w:id="1202" w:name="_Toc407612811"/>
      <w:bookmarkStart w:id="1203" w:name="_Toc25544"/>
      <w:bookmarkStart w:id="1204" w:name="_Toc13225512"/>
      <w:r>
        <w:rPr>
          <w:rFonts w:ascii="Times New Roman" w:hAnsi="Times New Roman" w:cs="Times New Roman"/>
          <w:sz w:val="21"/>
          <w:szCs w:val="21"/>
        </w:rPr>
        <w:t>未按规定的格式填写，内容不全或关键字迹模糊、无法辨认的</w:t>
      </w:r>
      <w:r>
        <w:rPr>
          <w:rFonts w:ascii="Times New Roman" w:hAnsi="Times New Roman" w:cs="Times New Roman"/>
          <w:bCs/>
          <w:sz w:val="21"/>
          <w:szCs w:val="21"/>
        </w:rPr>
        <w:t>。</w:t>
      </w:r>
      <w:bookmarkEnd w:id="1195"/>
      <w:bookmarkEnd w:id="1196"/>
      <w:bookmarkEnd w:id="1197"/>
      <w:bookmarkEnd w:id="1198"/>
      <w:bookmarkEnd w:id="1199"/>
      <w:bookmarkEnd w:id="1200"/>
      <w:bookmarkEnd w:id="1201"/>
      <w:bookmarkEnd w:id="1202"/>
      <w:bookmarkEnd w:id="1203"/>
      <w:bookmarkEnd w:id="1204"/>
    </w:p>
    <w:p w14:paraId="65EB9F46">
      <w:pPr>
        <w:pStyle w:val="63"/>
        <w:numPr>
          <w:ilvl w:val="2"/>
          <w:numId w:val="8"/>
        </w:numPr>
        <w:spacing w:line="360" w:lineRule="auto"/>
        <w:ind w:firstLineChars="0"/>
        <w:outlineLvl w:val="0"/>
        <w:rPr>
          <w:rFonts w:ascii="Times New Roman" w:hAnsi="Times New Roman" w:cs="Times New Roman"/>
          <w:sz w:val="21"/>
          <w:szCs w:val="21"/>
        </w:rPr>
      </w:pPr>
      <w:bookmarkStart w:id="1205" w:name="_Toc407613181"/>
      <w:bookmarkStart w:id="1206" w:name="_Toc535397607"/>
      <w:bookmarkStart w:id="1207" w:name="_Toc164420833"/>
      <w:bookmarkStart w:id="1208" w:name="_Toc2454"/>
      <w:bookmarkStart w:id="1209" w:name="_Toc407612812"/>
      <w:bookmarkStart w:id="1210" w:name="_Toc29078"/>
      <w:bookmarkStart w:id="1211" w:name="_Toc13225513"/>
      <w:bookmarkStart w:id="1212" w:name="_Toc134728936"/>
      <w:bookmarkStart w:id="1213" w:name="_Toc15386281"/>
      <w:bookmarkStart w:id="1214" w:name="_Toc406595797"/>
      <w:r>
        <w:rPr>
          <w:rFonts w:ascii="Times New Roman" w:hAnsi="Times New Roman" w:cs="Times New Roman"/>
          <w:bCs/>
          <w:sz w:val="21"/>
          <w:szCs w:val="21"/>
        </w:rPr>
        <w:t>投标人各包报有两个或多个价格或投标人的，报价混乱，总价、单价有多处不一致的错误的。</w:t>
      </w:r>
      <w:bookmarkEnd w:id="1205"/>
      <w:bookmarkEnd w:id="1206"/>
      <w:bookmarkEnd w:id="1207"/>
      <w:bookmarkEnd w:id="1208"/>
      <w:bookmarkEnd w:id="1209"/>
      <w:bookmarkEnd w:id="1210"/>
      <w:bookmarkEnd w:id="1211"/>
      <w:bookmarkEnd w:id="1212"/>
      <w:bookmarkEnd w:id="1213"/>
      <w:bookmarkEnd w:id="1214"/>
    </w:p>
    <w:p w14:paraId="60870B26">
      <w:pPr>
        <w:pStyle w:val="63"/>
        <w:numPr>
          <w:ilvl w:val="2"/>
          <w:numId w:val="8"/>
        </w:numPr>
        <w:spacing w:line="360" w:lineRule="auto"/>
        <w:ind w:firstLineChars="0"/>
        <w:outlineLvl w:val="0"/>
        <w:rPr>
          <w:rFonts w:ascii="Times New Roman" w:hAnsi="Times New Roman" w:cs="Times New Roman"/>
          <w:sz w:val="21"/>
          <w:szCs w:val="21"/>
        </w:rPr>
      </w:pPr>
      <w:bookmarkStart w:id="1215" w:name="_Toc134728937"/>
      <w:bookmarkStart w:id="1216" w:name="_Toc12333"/>
      <w:bookmarkStart w:id="1217" w:name="_Toc13225514"/>
      <w:bookmarkStart w:id="1218" w:name="_Toc164420834"/>
      <w:bookmarkStart w:id="1219" w:name="_Toc15386282"/>
      <w:bookmarkStart w:id="1220" w:name="_Toc407612813"/>
      <w:bookmarkStart w:id="1221" w:name="_Toc2897"/>
      <w:bookmarkStart w:id="1222" w:name="_Toc406595798"/>
      <w:bookmarkStart w:id="1223" w:name="_Toc407613182"/>
      <w:bookmarkStart w:id="1224" w:name="_Toc535397608"/>
      <w:r>
        <w:rPr>
          <w:rFonts w:ascii="Times New Roman" w:hAnsi="Times New Roman" w:cs="Times New Roman"/>
          <w:sz w:val="21"/>
          <w:szCs w:val="21"/>
        </w:rPr>
        <w:t>投标报价低于成本或者高于招标文件设定的最高投标限价。</w:t>
      </w:r>
      <w:bookmarkEnd w:id="1215"/>
      <w:bookmarkEnd w:id="1216"/>
      <w:bookmarkEnd w:id="1217"/>
      <w:bookmarkEnd w:id="1218"/>
      <w:bookmarkEnd w:id="1219"/>
      <w:bookmarkEnd w:id="1220"/>
      <w:bookmarkEnd w:id="1221"/>
      <w:bookmarkEnd w:id="1222"/>
      <w:bookmarkEnd w:id="1223"/>
      <w:bookmarkEnd w:id="1224"/>
    </w:p>
    <w:p w14:paraId="6968FF10">
      <w:pPr>
        <w:pStyle w:val="63"/>
        <w:numPr>
          <w:ilvl w:val="2"/>
          <w:numId w:val="8"/>
        </w:numPr>
        <w:spacing w:line="360" w:lineRule="auto"/>
        <w:ind w:firstLineChars="0"/>
        <w:outlineLvl w:val="0"/>
        <w:rPr>
          <w:rFonts w:ascii="Times New Roman" w:hAnsi="Times New Roman" w:cs="Times New Roman"/>
          <w:sz w:val="21"/>
          <w:szCs w:val="21"/>
        </w:rPr>
      </w:pPr>
      <w:bookmarkStart w:id="1225" w:name="_Toc407613183"/>
      <w:bookmarkStart w:id="1226" w:name="_Toc145"/>
      <w:bookmarkStart w:id="1227" w:name="_Toc164420835"/>
      <w:bookmarkStart w:id="1228" w:name="_Toc14237"/>
      <w:bookmarkStart w:id="1229" w:name="_Toc13225515"/>
      <w:bookmarkStart w:id="1230" w:name="_Toc134728938"/>
      <w:bookmarkStart w:id="1231" w:name="_Toc535397609"/>
      <w:bookmarkStart w:id="1232" w:name="_Toc406595799"/>
      <w:bookmarkStart w:id="1233" w:name="_Toc407612814"/>
      <w:bookmarkStart w:id="1234" w:name="_Toc15386283"/>
      <w:r>
        <w:rPr>
          <w:rFonts w:ascii="Times New Roman" w:hAnsi="Times New Roman" w:cs="Times New Roman"/>
          <w:sz w:val="21"/>
          <w:szCs w:val="21"/>
        </w:rPr>
        <w:t>投标文件没有对招标文件的实质性要求和条件作出响应。</w:t>
      </w:r>
      <w:bookmarkEnd w:id="1225"/>
      <w:bookmarkEnd w:id="1226"/>
      <w:bookmarkEnd w:id="1227"/>
      <w:bookmarkEnd w:id="1228"/>
      <w:bookmarkEnd w:id="1229"/>
      <w:bookmarkEnd w:id="1230"/>
      <w:bookmarkEnd w:id="1231"/>
      <w:bookmarkEnd w:id="1232"/>
      <w:bookmarkEnd w:id="1233"/>
      <w:bookmarkEnd w:id="1234"/>
    </w:p>
    <w:p w14:paraId="3454E98C">
      <w:pPr>
        <w:pStyle w:val="63"/>
        <w:numPr>
          <w:ilvl w:val="2"/>
          <w:numId w:val="8"/>
        </w:numPr>
        <w:spacing w:line="360" w:lineRule="auto"/>
        <w:ind w:firstLineChars="0"/>
        <w:outlineLvl w:val="0"/>
        <w:rPr>
          <w:rFonts w:ascii="Times New Roman" w:hAnsi="Times New Roman" w:cs="Times New Roman"/>
          <w:sz w:val="21"/>
          <w:szCs w:val="21"/>
        </w:rPr>
      </w:pPr>
      <w:bookmarkStart w:id="1235" w:name="_Toc406595800"/>
      <w:bookmarkStart w:id="1236" w:name="_Toc407613184"/>
      <w:bookmarkStart w:id="1237" w:name="_Toc407612815"/>
      <w:bookmarkStart w:id="1238" w:name="_Toc164420836"/>
      <w:bookmarkStart w:id="1239" w:name="_Toc15727"/>
      <w:bookmarkStart w:id="1240" w:name="_Toc535397610"/>
      <w:bookmarkStart w:id="1241" w:name="_Toc13225516"/>
      <w:bookmarkStart w:id="1242" w:name="_Toc20887"/>
      <w:bookmarkStart w:id="1243" w:name="_Toc15386284"/>
      <w:bookmarkStart w:id="1244" w:name="_Toc134728939"/>
      <w:r>
        <w:rPr>
          <w:rFonts w:ascii="Times New Roman" w:hAnsi="Times New Roman" w:cs="Times New Roman"/>
          <w:sz w:val="21"/>
          <w:szCs w:val="21"/>
        </w:rPr>
        <w:t>投标人有串通投标、弄虚作假、行贿等违法行为。</w:t>
      </w:r>
      <w:bookmarkEnd w:id="1235"/>
      <w:bookmarkEnd w:id="1236"/>
      <w:bookmarkEnd w:id="1237"/>
      <w:bookmarkEnd w:id="1238"/>
      <w:bookmarkEnd w:id="1239"/>
      <w:bookmarkEnd w:id="1240"/>
      <w:bookmarkEnd w:id="1241"/>
      <w:bookmarkEnd w:id="1242"/>
      <w:bookmarkEnd w:id="1243"/>
      <w:bookmarkEnd w:id="1244"/>
    </w:p>
    <w:p w14:paraId="7163DA6B">
      <w:pPr>
        <w:pStyle w:val="63"/>
        <w:numPr>
          <w:ilvl w:val="2"/>
          <w:numId w:val="8"/>
        </w:numPr>
        <w:spacing w:line="360" w:lineRule="auto"/>
        <w:ind w:firstLineChars="0"/>
        <w:outlineLvl w:val="0"/>
        <w:rPr>
          <w:rFonts w:ascii="Times New Roman" w:hAnsi="Times New Roman" w:cs="Times New Roman"/>
          <w:sz w:val="21"/>
          <w:szCs w:val="21"/>
        </w:rPr>
      </w:pPr>
      <w:bookmarkStart w:id="1245" w:name="_Toc407613185"/>
      <w:bookmarkStart w:id="1246" w:name="_Toc15386285"/>
      <w:bookmarkStart w:id="1247" w:name="_Toc28233"/>
      <w:bookmarkStart w:id="1248" w:name="_Toc9183"/>
      <w:bookmarkStart w:id="1249" w:name="_Toc406595801"/>
      <w:bookmarkStart w:id="1250" w:name="_Toc407612816"/>
      <w:bookmarkStart w:id="1251" w:name="_Toc13225517"/>
      <w:bookmarkStart w:id="1252" w:name="_Toc164420837"/>
      <w:bookmarkStart w:id="1253" w:name="_Toc134728940"/>
      <w:bookmarkStart w:id="1254" w:name="_Toc535397611"/>
      <w:r>
        <w:rPr>
          <w:rFonts w:ascii="Times New Roman" w:hAnsi="Times New Roman" w:cs="Times New Roman"/>
          <w:bCs/>
          <w:sz w:val="21"/>
          <w:szCs w:val="21"/>
        </w:rPr>
        <w:t>招标文件和有关法律法规</w:t>
      </w:r>
      <w:r>
        <w:rPr>
          <w:rFonts w:ascii="Times New Roman" w:hAnsi="Times New Roman" w:cs="Times New Roman"/>
          <w:sz w:val="21"/>
          <w:szCs w:val="21"/>
        </w:rPr>
        <w:t>明确规定可以被拒绝的其他情形</w:t>
      </w:r>
      <w:r>
        <w:rPr>
          <w:rFonts w:ascii="Times New Roman" w:hAnsi="Times New Roman" w:cs="Times New Roman"/>
          <w:bCs/>
          <w:sz w:val="21"/>
          <w:szCs w:val="21"/>
        </w:rPr>
        <w:t>。</w:t>
      </w:r>
      <w:bookmarkEnd w:id="1245"/>
      <w:bookmarkEnd w:id="1246"/>
      <w:bookmarkEnd w:id="1247"/>
      <w:bookmarkEnd w:id="1248"/>
      <w:bookmarkEnd w:id="1249"/>
      <w:bookmarkEnd w:id="1250"/>
      <w:bookmarkEnd w:id="1251"/>
      <w:bookmarkEnd w:id="1252"/>
      <w:bookmarkEnd w:id="1253"/>
      <w:bookmarkEnd w:id="1254"/>
    </w:p>
    <w:p w14:paraId="15152F5C">
      <w:pPr>
        <w:pStyle w:val="63"/>
        <w:numPr>
          <w:ilvl w:val="0"/>
          <w:numId w:val="8"/>
        </w:numPr>
        <w:spacing w:line="360" w:lineRule="auto"/>
        <w:ind w:firstLineChars="0"/>
        <w:outlineLvl w:val="0"/>
        <w:rPr>
          <w:rFonts w:ascii="Times New Roman" w:hAnsi="Times New Roman" w:cs="Times New Roman"/>
          <w:b/>
          <w:bCs/>
          <w:sz w:val="21"/>
          <w:szCs w:val="21"/>
        </w:rPr>
      </w:pPr>
      <w:bookmarkStart w:id="1255" w:name="_Toc407613186"/>
      <w:bookmarkStart w:id="1256" w:name="_Toc31021"/>
      <w:bookmarkStart w:id="1257" w:name="_Toc11648"/>
      <w:bookmarkStart w:id="1258" w:name="_Toc15386286"/>
      <w:bookmarkStart w:id="1259" w:name="_Toc406595802"/>
      <w:bookmarkStart w:id="1260" w:name="_Toc13225518"/>
      <w:bookmarkStart w:id="1261" w:name="_Toc134728941"/>
      <w:bookmarkStart w:id="1262" w:name="_Toc535397612"/>
      <w:bookmarkStart w:id="1263" w:name="_Toc407612817"/>
      <w:bookmarkStart w:id="1264" w:name="_Toc164420838"/>
      <w:r>
        <w:rPr>
          <w:rFonts w:ascii="Times New Roman" w:hAnsi="Times New Roman" w:cs="Times New Roman"/>
          <w:b/>
          <w:bCs/>
          <w:sz w:val="21"/>
          <w:szCs w:val="21"/>
        </w:rPr>
        <w:t>投标文件报价错误的修正</w:t>
      </w:r>
      <w:bookmarkEnd w:id="1255"/>
      <w:bookmarkEnd w:id="1256"/>
      <w:bookmarkEnd w:id="1257"/>
      <w:bookmarkEnd w:id="1258"/>
      <w:bookmarkEnd w:id="1259"/>
      <w:bookmarkEnd w:id="1260"/>
      <w:bookmarkEnd w:id="1261"/>
      <w:bookmarkEnd w:id="1262"/>
      <w:bookmarkEnd w:id="1263"/>
      <w:bookmarkEnd w:id="1264"/>
    </w:p>
    <w:p w14:paraId="48D5DEE3">
      <w:pPr>
        <w:pStyle w:val="63"/>
        <w:numPr>
          <w:ilvl w:val="1"/>
          <w:numId w:val="8"/>
        </w:numPr>
        <w:spacing w:line="360" w:lineRule="auto"/>
        <w:ind w:firstLineChars="0"/>
        <w:outlineLvl w:val="0"/>
        <w:rPr>
          <w:rFonts w:ascii="Times New Roman" w:hAnsi="Times New Roman" w:cs="Times New Roman"/>
          <w:sz w:val="21"/>
          <w:szCs w:val="21"/>
        </w:rPr>
      </w:pPr>
      <w:bookmarkStart w:id="1265" w:name="_Toc15386287"/>
      <w:bookmarkStart w:id="1266" w:name="_Toc407612818"/>
      <w:bookmarkStart w:id="1267" w:name="_Toc535397613"/>
      <w:bookmarkStart w:id="1268" w:name="_Toc406595803"/>
      <w:bookmarkStart w:id="1269" w:name="_Toc164420839"/>
      <w:bookmarkStart w:id="1270" w:name="_Toc69"/>
      <w:bookmarkStart w:id="1271" w:name="_Toc28796"/>
      <w:bookmarkStart w:id="1272" w:name="_Toc407613187"/>
      <w:bookmarkStart w:id="1273" w:name="_Toc13225519"/>
      <w:bookmarkStart w:id="1274" w:name="_Toc134728942"/>
      <w:r>
        <w:rPr>
          <w:rFonts w:ascii="Times New Roman" w:hAnsi="Times New Roman" w:cs="Times New Roman"/>
          <w:sz w:val="21"/>
          <w:szCs w:val="21"/>
        </w:rPr>
        <w:t>若“投标一览表”内容与投标文件中明细表内容不一致的，以“投标一览表”为准；若单价计算的结果与总价不一致，以单价为准修改总价，但单价金额小数点有明显错位的，应以总价为准并修改单价；若用文字表示的数值与数字表示的数值不一致，以文字表示的数值为准。对不同文字文本投标文件的解释发生异议的，以中文文本为准。如果投标人不接受对其错误的更改，其投标将被拒绝。</w:t>
      </w:r>
      <w:bookmarkEnd w:id="1265"/>
      <w:bookmarkEnd w:id="1266"/>
      <w:bookmarkEnd w:id="1267"/>
      <w:bookmarkEnd w:id="1268"/>
      <w:bookmarkEnd w:id="1269"/>
      <w:bookmarkEnd w:id="1270"/>
      <w:bookmarkEnd w:id="1271"/>
      <w:bookmarkEnd w:id="1272"/>
      <w:bookmarkEnd w:id="1273"/>
      <w:bookmarkEnd w:id="1274"/>
    </w:p>
    <w:p w14:paraId="0D949AE8">
      <w:pPr>
        <w:pStyle w:val="63"/>
        <w:numPr>
          <w:ilvl w:val="1"/>
          <w:numId w:val="8"/>
        </w:numPr>
        <w:spacing w:line="360" w:lineRule="auto"/>
        <w:ind w:firstLineChars="0"/>
        <w:outlineLvl w:val="0"/>
        <w:rPr>
          <w:rFonts w:ascii="Times New Roman" w:hAnsi="Times New Roman" w:cs="Times New Roman"/>
          <w:sz w:val="21"/>
          <w:szCs w:val="21"/>
        </w:rPr>
      </w:pPr>
      <w:bookmarkStart w:id="1275" w:name="_Toc535397614"/>
      <w:bookmarkStart w:id="1276" w:name="_Toc134728943"/>
      <w:bookmarkStart w:id="1277" w:name="_Toc978"/>
      <w:bookmarkStart w:id="1278" w:name="_Toc13225520"/>
      <w:bookmarkStart w:id="1279" w:name="_Toc15386288"/>
      <w:bookmarkStart w:id="1280" w:name="_Toc407612819"/>
      <w:bookmarkStart w:id="1281" w:name="_Toc164420840"/>
      <w:bookmarkStart w:id="1282" w:name="_Toc406595804"/>
      <w:bookmarkStart w:id="1283" w:name="_Toc407613188"/>
      <w:bookmarkStart w:id="1284" w:name="_Toc21411"/>
      <w:r>
        <w:rPr>
          <w:rFonts w:ascii="Times New Roman" w:hAnsi="Times New Roman" w:cs="Times New Roman"/>
          <w:sz w:val="21"/>
          <w:szCs w:val="21"/>
        </w:rPr>
        <w:t>对于投标文件中不构成实质性偏差的不正规、不一致或不规则，评标委员会可以接受，但这种接受不能损害或影响任何投标人的相对排序。</w:t>
      </w:r>
      <w:bookmarkEnd w:id="1275"/>
      <w:bookmarkEnd w:id="1276"/>
      <w:bookmarkEnd w:id="1277"/>
      <w:bookmarkEnd w:id="1278"/>
      <w:bookmarkEnd w:id="1279"/>
      <w:bookmarkEnd w:id="1280"/>
      <w:bookmarkEnd w:id="1281"/>
      <w:bookmarkEnd w:id="1282"/>
      <w:bookmarkEnd w:id="1283"/>
      <w:bookmarkEnd w:id="1284"/>
    </w:p>
    <w:p w14:paraId="40C1221E">
      <w:pPr>
        <w:pStyle w:val="63"/>
        <w:numPr>
          <w:ilvl w:val="0"/>
          <w:numId w:val="8"/>
        </w:numPr>
        <w:spacing w:line="360" w:lineRule="auto"/>
        <w:ind w:firstLineChars="0"/>
        <w:outlineLvl w:val="0"/>
        <w:rPr>
          <w:rFonts w:ascii="Times New Roman" w:hAnsi="Times New Roman" w:cs="Times New Roman"/>
          <w:b/>
          <w:bCs/>
          <w:sz w:val="21"/>
          <w:szCs w:val="21"/>
        </w:rPr>
      </w:pPr>
      <w:bookmarkStart w:id="1285" w:name="_Toc406595805"/>
      <w:bookmarkStart w:id="1286" w:name="_Toc164420841"/>
      <w:bookmarkStart w:id="1287" w:name="_Toc23135"/>
      <w:bookmarkStart w:id="1288" w:name="_Toc134728944"/>
      <w:bookmarkStart w:id="1289" w:name="_Toc15386289"/>
      <w:bookmarkStart w:id="1290" w:name="_Toc13225521"/>
      <w:bookmarkStart w:id="1291" w:name="_Toc26249"/>
      <w:bookmarkStart w:id="1292" w:name="_Toc407612820"/>
      <w:bookmarkStart w:id="1293" w:name="_Toc535397615"/>
      <w:bookmarkStart w:id="1294" w:name="_Toc407613189"/>
      <w:r>
        <w:rPr>
          <w:rFonts w:ascii="Times New Roman" w:hAnsi="Times New Roman" w:cs="Times New Roman"/>
          <w:b/>
          <w:bCs/>
          <w:sz w:val="21"/>
          <w:szCs w:val="21"/>
        </w:rPr>
        <w:t>投标文件的澄清</w:t>
      </w:r>
      <w:bookmarkEnd w:id="1285"/>
      <w:bookmarkEnd w:id="1286"/>
      <w:bookmarkEnd w:id="1287"/>
      <w:bookmarkEnd w:id="1288"/>
      <w:bookmarkEnd w:id="1289"/>
      <w:bookmarkEnd w:id="1290"/>
      <w:bookmarkEnd w:id="1291"/>
      <w:bookmarkEnd w:id="1292"/>
      <w:bookmarkEnd w:id="1293"/>
      <w:bookmarkEnd w:id="1294"/>
    </w:p>
    <w:p w14:paraId="1AB9EA76">
      <w:pPr>
        <w:pStyle w:val="63"/>
        <w:numPr>
          <w:ilvl w:val="1"/>
          <w:numId w:val="8"/>
        </w:numPr>
        <w:spacing w:line="360" w:lineRule="auto"/>
        <w:ind w:firstLineChars="0"/>
        <w:outlineLvl w:val="0"/>
        <w:rPr>
          <w:rFonts w:ascii="Times New Roman" w:hAnsi="Times New Roman" w:cs="Times New Roman"/>
          <w:sz w:val="21"/>
          <w:szCs w:val="21"/>
        </w:rPr>
      </w:pPr>
      <w:bookmarkStart w:id="1295" w:name="_Toc15386290"/>
      <w:bookmarkStart w:id="1296" w:name="_Toc13225522"/>
      <w:bookmarkStart w:id="1297" w:name="_Toc134728945"/>
      <w:bookmarkStart w:id="1298" w:name="_Toc29188"/>
      <w:bookmarkStart w:id="1299" w:name="_Toc535397616"/>
      <w:bookmarkStart w:id="1300" w:name="_Toc407613190"/>
      <w:bookmarkStart w:id="1301" w:name="_Toc29882"/>
      <w:bookmarkStart w:id="1302" w:name="_Toc406595806"/>
      <w:bookmarkStart w:id="1303" w:name="_Toc407612821"/>
      <w:bookmarkStart w:id="1304" w:name="_Toc164420842"/>
      <w:r>
        <w:rPr>
          <w:rFonts w:ascii="Times New Roman" w:hAnsi="Times New Roman" w:cs="Times New Roman"/>
          <w:sz w:val="21"/>
          <w:szCs w:val="21"/>
        </w:rPr>
        <w:t>投标文件中有含义不明确的内容、明显文字或者计算错误，评标委员会认为需要投标人作出必要澄清、说明的，应当书面通知该投标人。</w:t>
      </w:r>
      <w:bookmarkEnd w:id="1295"/>
      <w:bookmarkEnd w:id="1296"/>
      <w:bookmarkEnd w:id="1297"/>
      <w:bookmarkEnd w:id="1298"/>
      <w:bookmarkEnd w:id="1299"/>
      <w:bookmarkEnd w:id="1300"/>
      <w:bookmarkEnd w:id="1301"/>
      <w:bookmarkEnd w:id="1302"/>
      <w:bookmarkEnd w:id="1303"/>
      <w:bookmarkEnd w:id="1304"/>
    </w:p>
    <w:p w14:paraId="1DD5CEBF">
      <w:pPr>
        <w:pStyle w:val="63"/>
        <w:numPr>
          <w:ilvl w:val="1"/>
          <w:numId w:val="8"/>
        </w:numPr>
        <w:spacing w:line="360" w:lineRule="auto"/>
        <w:ind w:firstLineChars="0"/>
        <w:outlineLvl w:val="0"/>
        <w:rPr>
          <w:rFonts w:ascii="Times New Roman" w:hAnsi="Times New Roman" w:cs="Times New Roman"/>
          <w:sz w:val="21"/>
          <w:szCs w:val="21"/>
        </w:rPr>
      </w:pPr>
      <w:bookmarkStart w:id="1305" w:name="_Toc407612822"/>
      <w:bookmarkStart w:id="1306" w:name="_Toc13225523"/>
      <w:bookmarkStart w:id="1307" w:name="_Toc406595807"/>
      <w:bookmarkStart w:id="1308" w:name="_Toc407613191"/>
      <w:bookmarkStart w:id="1309" w:name="_Toc15386291"/>
      <w:bookmarkStart w:id="1310" w:name="_Toc381"/>
      <w:bookmarkStart w:id="1311" w:name="_Toc134728946"/>
      <w:bookmarkStart w:id="1312" w:name="_Toc7322"/>
      <w:bookmarkStart w:id="1313" w:name="_Toc535397617"/>
      <w:bookmarkStart w:id="1314" w:name="_Toc164420843"/>
      <w:r>
        <w:rPr>
          <w:rFonts w:ascii="Times New Roman" w:hAnsi="Times New Roman" w:cs="Times New Roman"/>
          <w:sz w:val="21"/>
          <w:szCs w:val="21"/>
        </w:rPr>
        <w:t>投标人必须按要求进行澄清，书面澄清答复须有投标人法定代表人签字或正式授权的投标人代表签字，并加盖公章，但不得超出投标文件的范围或者改变投标文件的实质性内容。</w:t>
      </w:r>
      <w:bookmarkEnd w:id="1305"/>
      <w:bookmarkEnd w:id="1306"/>
      <w:bookmarkEnd w:id="1307"/>
      <w:bookmarkEnd w:id="1308"/>
      <w:bookmarkEnd w:id="1309"/>
      <w:bookmarkEnd w:id="1310"/>
      <w:bookmarkEnd w:id="1311"/>
      <w:bookmarkEnd w:id="1312"/>
      <w:bookmarkEnd w:id="1313"/>
      <w:bookmarkEnd w:id="1314"/>
    </w:p>
    <w:p w14:paraId="09BB137E">
      <w:pPr>
        <w:pStyle w:val="63"/>
        <w:numPr>
          <w:ilvl w:val="1"/>
          <w:numId w:val="8"/>
        </w:numPr>
        <w:spacing w:line="360" w:lineRule="auto"/>
        <w:ind w:firstLineChars="0"/>
        <w:outlineLvl w:val="0"/>
        <w:rPr>
          <w:rFonts w:ascii="Times New Roman" w:hAnsi="Times New Roman" w:cs="Times New Roman"/>
          <w:sz w:val="21"/>
          <w:szCs w:val="21"/>
        </w:rPr>
      </w:pPr>
      <w:bookmarkStart w:id="1315" w:name="_Toc407612823"/>
      <w:bookmarkStart w:id="1316" w:name="_Toc164420844"/>
      <w:bookmarkStart w:id="1317" w:name="_Toc406595808"/>
      <w:bookmarkStart w:id="1318" w:name="_Toc407613192"/>
      <w:bookmarkStart w:id="1319" w:name="_Toc15386292"/>
      <w:bookmarkStart w:id="1320" w:name="_Toc3412"/>
      <w:bookmarkStart w:id="1321" w:name="_Toc517"/>
      <w:bookmarkStart w:id="1322" w:name="_Toc535397618"/>
      <w:bookmarkStart w:id="1323" w:name="_Toc134728947"/>
      <w:bookmarkStart w:id="1324" w:name="_Toc13225524"/>
      <w:r>
        <w:rPr>
          <w:rFonts w:ascii="Times New Roman" w:hAnsi="Times New Roman" w:cs="Times New Roman"/>
          <w:sz w:val="21"/>
          <w:szCs w:val="21"/>
        </w:rPr>
        <w:t>评标委员会不得暗示或者诱导投标人作出澄清、说明，不得接受投标人在开标后主动提出的澄清、说明。</w:t>
      </w:r>
      <w:bookmarkEnd w:id="1315"/>
      <w:bookmarkEnd w:id="1316"/>
      <w:bookmarkEnd w:id="1317"/>
      <w:bookmarkEnd w:id="1318"/>
      <w:bookmarkEnd w:id="1319"/>
      <w:bookmarkEnd w:id="1320"/>
      <w:bookmarkEnd w:id="1321"/>
      <w:bookmarkEnd w:id="1322"/>
      <w:bookmarkEnd w:id="1323"/>
      <w:bookmarkEnd w:id="1324"/>
    </w:p>
    <w:p w14:paraId="3DCD5EEB">
      <w:pPr>
        <w:pStyle w:val="63"/>
        <w:numPr>
          <w:ilvl w:val="0"/>
          <w:numId w:val="8"/>
        </w:numPr>
        <w:spacing w:line="360" w:lineRule="auto"/>
        <w:ind w:firstLineChars="0"/>
        <w:outlineLvl w:val="0"/>
        <w:rPr>
          <w:rFonts w:ascii="Times New Roman" w:hAnsi="Times New Roman" w:cs="Times New Roman"/>
          <w:b/>
          <w:bCs/>
          <w:sz w:val="21"/>
          <w:szCs w:val="21"/>
        </w:rPr>
      </w:pPr>
      <w:bookmarkStart w:id="1325" w:name="_Toc15386293"/>
      <w:bookmarkStart w:id="1326" w:name="_Toc407612824"/>
      <w:bookmarkStart w:id="1327" w:name="_Toc13225525"/>
      <w:bookmarkStart w:id="1328" w:name="_Toc23171"/>
      <w:bookmarkStart w:id="1329" w:name="_Toc407613193"/>
      <w:bookmarkStart w:id="1330" w:name="_Toc535397619"/>
      <w:bookmarkStart w:id="1331" w:name="_Toc164420845"/>
      <w:bookmarkStart w:id="1332" w:name="_Toc406595809"/>
      <w:bookmarkStart w:id="1333" w:name="_Toc134728948"/>
      <w:bookmarkStart w:id="1334" w:name="_Toc25986"/>
      <w:r>
        <w:rPr>
          <w:rFonts w:ascii="Times New Roman" w:hAnsi="Times New Roman" w:cs="Times New Roman"/>
          <w:b/>
          <w:bCs/>
          <w:sz w:val="21"/>
          <w:szCs w:val="21"/>
        </w:rPr>
        <w:t>对投标文件的评审和比较</w:t>
      </w:r>
      <w:bookmarkEnd w:id="1325"/>
      <w:bookmarkEnd w:id="1326"/>
      <w:bookmarkEnd w:id="1327"/>
      <w:bookmarkEnd w:id="1328"/>
      <w:bookmarkEnd w:id="1329"/>
      <w:bookmarkEnd w:id="1330"/>
      <w:bookmarkEnd w:id="1331"/>
      <w:bookmarkEnd w:id="1332"/>
      <w:bookmarkEnd w:id="1333"/>
      <w:bookmarkEnd w:id="1334"/>
    </w:p>
    <w:p w14:paraId="5915CE34">
      <w:pPr>
        <w:pStyle w:val="63"/>
        <w:numPr>
          <w:ilvl w:val="1"/>
          <w:numId w:val="8"/>
        </w:numPr>
        <w:spacing w:line="360" w:lineRule="auto"/>
        <w:ind w:firstLineChars="0"/>
        <w:outlineLvl w:val="0"/>
        <w:rPr>
          <w:rFonts w:ascii="Times New Roman" w:hAnsi="Times New Roman" w:cs="Times New Roman"/>
          <w:sz w:val="21"/>
          <w:szCs w:val="21"/>
        </w:rPr>
      </w:pPr>
      <w:bookmarkStart w:id="1335" w:name="_Toc407612825"/>
      <w:bookmarkStart w:id="1336" w:name="_Toc30204"/>
      <w:bookmarkStart w:id="1337" w:name="_Toc134728949"/>
      <w:bookmarkStart w:id="1338" w:name="_Toc407613194"/>
      <w:bookmarkStart w:id="1339" w:name="_Toc535397620"/>
      <w:bookmarkStart w:id="1340" w:name="_Toc19342"/>
      <w:bookmarkStart w:id="1341" w:name="_Toc13225526"/>
      <w:bookmarkStart w:id="1342" w:name="_Toc406595810"/>
      <w:bookmarkStart w:id="1343" w:name="_Toc15386294"/>
      <w:bookmarkStart w:id="1344" w:name="_Toc164420846"/>
      <w:r>
        <w:rPr>
          <w:rFonts w:ascii="Times New Roman" w:hAnsi="Times New Roman" w:cs="Times New Roman"/>
          <w:sz w:val="21"/>
          <w:szCs w:val="21"/>
        </w:rPr>
        <w:t>评标委员会将对有效的投标文件进行评审和比较。</w:t>
      </w:r>
      <w:bookmarkEnd w:id="1335"/>
      <w:bookmarkEnd w:id="1336"/>
      <w:bookmarkEnd w:id="1337"/>
      <w:bookmarkEnd w:id="1338"/>
      <w:bookmarkEnd w:id="1339"/>
      <w:bookmarkEnd w:id="1340"/>
      <w:bookmarkEnd w:id="1341"/>
      <w:bookmarkEnd w:id="1342"/>
      <w:bookmarkEnd w:id="1343"/>
      <w:bookmarkEnd w:id="1344"/>
    </w:p>
    <w:p w14:paraId="6D249DE8">
      <w:pPr>
        <w:pStyle w:val="63"/>
        <w:numPr>
          <w:ilvl w:val="1"/>
          <w:numId w:val="8"/>
        </w:numPr>
        <w:spacing w:line="360" w:lineRule="auto"/>
        <w:ind w:firstLineChars="0"/>
        <w:outlineLvl w:val="0"/>
        <w:rPr>
          <w:rFonts w:ascii="Times New Roman" w:hAnsi="Times New Roman" w:cs="Times New Roman"/>
          <w:sz w:val="21"/>
          <w:szCs w:val="21"/>
        </w:rPr>
      </w:pPr>
      <w:bookmarkStart w:id="1345" w:name="_Toc134728950"/>
      <w:bookmarkStart w:id="1346" w:name="_Toc2714"/>
      <w:bookmarkStart w:id="1347" w:name="_Toc406595811"/>
      <w:bookmarkStart w:id="1348" w:name="_Toc535397621"/>
      <w:bookmarkStart w:id="1349" w:name="_Toc407613195"/>
      <w:bookmarkStart w:id="1350" w:name="_Toc5419"/>
      <w:bookmarkStart w:id="1351" w:name="_Toc13225527"/>
      <w:bookmarkStart w:id="1352" w:name="_Toc164420847"/>
      <w:bookmarkStart w:id="1353" w:name="_Toc15386295"/>
      <w:bookmarkStart w:id="1354" w:name="_Toc407612826"/>
      <w:r>
        <w:rPr>
          <w:rFonts w:ascii="Times New Roman" w:hAnsi="Times New Roman" w:cs="Times New Roman"/>
          <w:sz w:val="21"/>
          <w:szCs w:val="21"/>
        </w:rPr>
        <w:t>评标时除考虑投标报价以外,还将考虑其它因素，具体见本须知第29.7条。</w:t>
      </w:r>
      <w:bookmarkEnd w:id="1345"/>
      <w:bookmarkEnd w:id="1346"/>
      <w:bookmarkEnd w:id="1347"/>
      <w:bookmarkEnd w:id="1348"/>
      <w:bookmarkEnd w:id="1349"/>
      <w:bookmarkEnd w:id="1350"/>
      <w:bookmarkEnd w:id="1351"/>
      <w:bookmarkEnd w:id="1352"/>
      <w:bookmarkEnd w:id="1353"/>
      <w:bookmarkEnd w:id="1354"/>
    </w:p>
    <w:p w14:paraId="7085039D">
      <w:pPr>
        <w:pStyle w:val="63"/>
        <w:numPr>
          <w:ilvl w:val="0"/>
          <w:numId w:val="8"/>
        </w:numPr>
        <w:spacing w:line="360" w:lineRule="auto"/>
        <w:ind w:firstLineChars="0"/>
        <w:outlineLvl w:val="0"/>
        <w:rPr>
          <w:rFonts w:ascii="Times New Roman" w:hAnsi="Times New Roman" w:cs="Times New Roman"/>
          <w:b/>
          <w:bCs/>
          <w:sz w:val="21"/>
          <w:szCs w:val="21"/>
        </w:rPr>
      </w:pPr>
      <w:bookmarkStart w:id="1355" w:name="_Toc799"/>
      <w:bookmarkStart w:id="1356" w:name="_Toc164420848"/>
      <w:bookmarkStart w:id="1357" w:name="_Toc407613196"/>
      <w:bookmarkStart w:id="1358" w:name="_Toc13225528"/>
      <w:bookmarkStart w:id="1359" w:name="_Toc379"/>
      <w:bookmarkStart w:id="1360" w:name="_Toc134728951"/>
      <w:bookmarkStart w:id="1361" w:name="_Toc406595812"/>
      <w:bookmarkStart w:id="1362" w:name="_Toc407612827"/>
      <w:bookmarkStart w:id="1363" w:name="_Toc15386296"/>
      <w:bookmarkStart w:id="1364" w:name="_Toc535397622"/>
      <w:r>
        <w:rPr>
          <w:rFonts w:ascii="Times New Roman" w:hAnsi="Times New Roman" w:cs="Times New Roman"/>
          <w:b/>
          <w:bCs/>
          <w:sz w:val="21"/>
          <w:szCs w:val="21"/>
        </w:rPr>
        <w:t>评标原则及主要方法</w:t>
      </w:r>
      <w:bookmarkEnd w:id="1355"/>
      <w:bookmarkEnd w:id="1356"/>
      <w:bookmarkEnd w:id="1357"/>
      <w:bookmarkEnd w:id="1358"/>
      <w:bookmarkEnd w:id="1359"/>
      <w:bookmarkEnd w:id="1360"/>
      <w:bookmarkEnd w:id="1361"/>
      <w:bookmarkEnd w:id="1362"/>
      <w:bookmarkEnd w:id="1363"/>
      <w:bookmarkEnd w:id="1364"/>
    </w:p>
    <w:p w14:paraId="62279841">
      <w:pPr>
        <w:pStyle w:val="63"/>
        <w:numPr>
          <w:ilvl w:val="1"/>
          <w:numId w:val="8"/>
        </w:numPr>
        <w:spacing w:line="360" w:lineRule="auto"/>
        <w:ind w:firstLineChars="0"/>
        <w:outlineLvl w:val="0"/>
        <w:rPr>
          <w:rFonts w:ascii="Times New Roman" w:hAnsi="Times New Roman" w:cs="Times New Roman"/>
          <w:sz w:val="21"/>
          <w:szCs w:val="21"/>
        </w:rPr>
      </w:pPr>
      <w:bookmarkStart w:id="1365" w:name="_Toc164420849"/>
      <w:bookmarkStart w:id="1366" w:name="_Toc407612828"/>
      <w:bookmarkStart w:id="1367" w:name="_Toc535397623"/>
      <w:bookmarkStart w:id="1368" w:name="_Toc29703"/>
      <w:bookmarkStart w:id="1369" w:name="_Toc15386297"/>
      <w:bookmarkStart w:id="1370" w:name="_Toc27616"/>
      <w:bookmarkStart w:id="1371" w:name="_Toc407613197"/>
      <w:bookmarkStart w:id="1372" w:name="_Toc134728952"/>
      <w:bookmarkStart w:id="1373" w:name="_Toc406595813"/>
      <w:bookmarkStart w:id="1374" w:name="_Toc13225529"/>
      <w:r>
        <w:rPr>
          <w:rFonts w:ascii="Times New Roman" w:hAnsi="Times New Roman" w:cs="Times New Roman"/>
          <w:sz w:val="21"/>
          <w:szCs w:val="21"/>
        </w:rPr>
        <w:t>认真贯彻国家有关法律、法规，维护国家利益。</w:t>
      </w:r>
      <w:bookmarkEnd w:id="1365"/>
      <w:bookmarkEnd w:id="1366"/>
      <w:bookmarkEnd w:id="1367"/>
      <w:bookmarkEnd w:id="1368"/>
      <w:bookmarkEnd w:id="1369"/>
      <w:bookmarkEnd w:id="1370"/>
      <w:bookmarkEnd w:id="1371"/>
      <w:bookmarkEnd w:id="1372"/>
      <w:bookmarkEnd w:id="1373"/>
      <w:bookmarkEnd w:id="1374"/>
    </w:p>
    <w:p w14:paraId="10F9B6C4">
      <w:pPr>
        <w:pStyle w:val="63"/>
        <w:numPr>
          <w:ilvl w:val="1"/>
          <w:numId w:val="8"/>
        </w:numPr>
        <w:spacing w:line="360" w:lineRule="auto"/>
        <w:ind w:firstLineChars="0"/>
        <w:outlineLvl w:val="0"/>
        <w:rPr>
          <w:rFonts w:ascii="Times New Roman" w:hAnsi="Times New Roman" w:cs="Times New Roman"/>
          <w:sz w:val="21"/>
          <w:szCs w:val="21"/>
        </w:rPr>
      </w:pPr>
      <w:bookmarkStart w:id="1375" w:name="_Toc407613198"/>
      <w:bookmarkStart w:id="1376" w:name="_Toc535397624"/>
      <w:bookmarkStart w:id="1377" w:name="_Toc406595814"/>
      <w:bookmarkStart w:id="1378" w:name="_Toc407612829"/>
      <w:bookmarkStart w:id="1379" w:name="_Toc14307"/>
      <w:bookmarkStart w:id="1380" w:name="_Toc134728953"/>
      <w:bookmarkStart w:id="1381" w:name="_Toc15386298"/>
      <w:bookmarkStart w:id="1382" w:name="_Toc24470"/>
      <w:bookmarkStart w:id="1383" w:name="_Toc13225530"/>
      <w:bookmarkStart w:id="1384" w:name="_Toc164420850"/>
      <w:r>
        <w:rPr>
          <w:rFonts w:ascii="Times New Roman" w:hAnsi="Times New Roman" w:cs="Times New Roman"/>
          <w:sz w:val="21"/>
          <w:szCs w:val="21"/>
        </w:rPr>
        <w:t>保护招标人的合法利益。</w:t>
      </w:r>
      <w:bookmarkEnd w:id="1375"/>
      <w:bookmarkEnd w:id="1376"/>
      <w:bookmarkEnd w:id="1377"/>
      <w:bookmarkEnd w:id="1378"/>
      <w:bookmarkEnd w:id="1379"/>
      <w:bookmarkEnd w:id="1380"/>
      <w:bookmarkEnd w:id="1381"/>
      <w:bookmarkEnd w:id="1382"/>
      <w:bookmarkEnd w:id="1383"/>
      <w:bookmarkEnd w:id="1384"/>
    </w:p>
    <w:p w14:paraId="103A560F">
      <w:pPr>
        <w:pStyle w:val="63"/>
        <w:numPr>
          <w:ilvl w:val="1"/>
          <w:numId w:val="8"/>
        </w:numPr>
        <w:spacing w:line="360" w:lineRule="auto"/>
        <w:ind w:firstLineChars="0"/>
        <w:outlineLvl w:val="0"/>
        <w:rPr>
          <w:rFonts w:ascii="Times New Roman" w:hAnsi="Times New Roman" w:cs="Times New Roman"/>
          <w:sz w:val="21"/>
          <w:szCs w:val="21"/>
        </w:rPr>
      </w:pPr>
      <w:bookmarkStart w:id="1385" w:name="_Toc9907"/>
      <w:bookmarkStart w:id="1386" w:name="_Toc406595815"/>
      <w:bookmarkStart w:id="1387" w:name="_Toc407612830"/>
      <w:bookmarkStart w:id="1388" w:name="_Toc15386299"/>
      <w:bookmarkStart w:id="1389" w:name="_Toc535397625"/>
      <w:bookmarkStart w:id="1390" w:name="_Toc407613199"/>
      <w:bookmarkStart w:id="1391" w:name="_Toc14590"/>
      <w:bookmarkStart w:id="1392" w:name="_Toc134728954"/>
      <w:bookmarkStart w:id="1393" w:name="_Toc164420851"/>
      <w:bookmarkStart w:id="1394" w:name="_Toc13225531"/>
      <w:r>
        <w:rPr>
          <w:rFonts w:ascii="Times New Roman" w:hAnsi="Times New Roman" w:cs="Times New Roman"/>
          <w:sz w:val="21"/>
          <w:szCs w:val="21"/>
        </w:rPr>
        <w:t>评标工作将遵循公平、公正、科学、择优的原则，对各包所有投标人的投标评价都采用相同的程序和标准。</w:t>
      </w:r>
      <w:bookmarkEnd w:id="1385"/>
      <w:bookmarkEnd w:id="1386"/>
      <w:bookmarkEnd w:id="1387"/>
      <w:bookmarkEnd w:id="1388"/>
      <w:bookmarkEnd w:id="1389"/>
      <w:bookmarkEnd w:id="1390"/>
      <w:bookmarkEnd w:id="1391"/>
      <w:bookmarkEnd w:id="1392"/>
      <w:bookmarkEnd w:id="1393"/>
      <w:bookmarkEnd w:id="1394"/>
    </w:p>
    <w:p w14:paraId="49C3FCDE">
      <w:pPr>
        <w:pStyle w:val="63"/>
        <w:numPr>
          <w:ilvl w:val="1"/>
          <w:numId w:val="8"/>
        </w:numPr>
        <w:spacing w:line="360" w:lineRule="auto"/>
        <w:ind w:firstLineChars="0"/>
        <w:outlineLvl w:val="0"/>
        <w:rPr>
          <w:rFonts w:ascii="Times New Roman" w:hAnsi="Times New Roman" w:cs="Times New Roman"/>
          <w:sz w:val="21"/>
          <w:szCs w:val="21"/>
        </w:rPr>
      </w:pPr>
      <w:bookmarkStart w:id="1395" w:name="_Toc13225532"/>
      <w:bookmarkStart w:id="1396" w:name="_Toc164420852"/>
      <w:bookmarkStart w:id="1397" w:name="_Toc17514"/>
      <w:bookmarkStart w:id="1398" w:name="_Toc406595816"/>
      <w:bookmarkStart w:id="1399" w:name="_Toc407613200"/>
      <w:bookmarkStart w:id="1400" w:name="_Toc535397626"/>
      <w:bookmarkStart w:id="1401" w:name="_Toc15386300"/>
      <w:bookmarkStart w:id="1402" w:name="_Toc5047"/>
      <w:bookmarkStart w:id="1403" w:name="_Toc407612831"/>
      <w:bookmarkStart w:id="1404" w:name="_Toc134728955"/>
      <w:r>
        <w:rPr>
          <w:rFonts w:ascii="Times New Roman" w:hAnsi="Times New Roman" w:cs="Times New Roman"/>
          <w:sz w:val="21"/>
          <w:szCs w:val="21"/>
        </w:rPr>
        <w:t>评标严格按照招标文件的要求和评标办法的规定进行。</w:t>
      </w:r>
      <w:bookmarkEnd w:id="1395"/>
      <w:bookmarkEnd w:id="1396"/>
      <w:bookmarkEnd w:id="1397"/>
      <w:bookmarkEnd w:id="1398"/>
      <w:bookmarkEnd w:id="1399"/>
      <w:bookmarkEnd w:id="1400"/>
      <w:bookmarkEnd w:id="1401"/>
      <w:bookmarkEnd w:id="1402"/>
      <w:bookmarkEnd w:id="1403"/>
      <w:bookmarkEnd w:id="1404"/>
    </w:p>
    <w:p w14:paraId="4F140D4E">
      <w:pPr>
        <w:pStyle w:val="63"/>
        <w:numPr>
          <w:ilvl w:val="1"/>
          <w:numId w:val="8"/>
        </w:numPr>
        <w:spacing w:line="360" w:lineRule="auto"/>
        <w:ind w:firstLineChars="0"/>
        <w:outlineLvl w:val="0"/>
        <w:rPr>
          <w:rFonts w:ascii="Times New Roman" w:hAnsi="Times New Roman" w:cs="Times New Roman"/>
          <w:sz w:val="21"/>
          <w:szCs w:val="21"/>
        </w:rPr>
      </w:pPr>
      <w:bookmarkStart w:id="1405" w:name="_Toc406595817"/>
      <w:bookmarkStart w:id="1406" w:name="_Toc23850"/>
      <w:bookmarkStart w:id="1407" w:name="_Toc407612832"/>
      <w:bookmarkStart w:id="1408" w:name="_Toc15386301"/>
      <w:bookmarkStart w:id="1409" w:name="_Toc13225533"/>
      <w:bookmarkStart w:id="1410" w:name="_Toc164420853"/>
      <w:bookmarkStart w:id="1411" w:name="_Toc407613201"/>
      <w:bookmarkStart w:id="1412" w:name="_Toc134728956"/>
      <w:bookmarkStart w:id="1413" w:name="_Toc17605"/>
      <w:bookmarkStart w:id="1414" w:name="_Toc535397627"/>
      <w:r>
        <w:rPr>
          <w:rFonts w:ascii="Times New Roman" w:hAnsi="Times New Roman" w:cs="Times New Roman"/>
          <w:sz w:val="21"/>
          <w:szCs w:val="21"/>
        </w:rPr>
        <w:t>评标期间不接受任何价格调整。</w:t>
      </w:r>
      <w:bookmarkEnd w:id="1405"/>
      <w:bookmarkEnd w:id="1406"/>
      <w:bookmarkEnd w:id="1407"/>
      <w:bookmarkEnd w:id="1408"/>
      <w:bookmarkEnd w:id="1409"/>
      <w:bookmarkEnd w:id="1410"/>
      <w:bookmarkEnd w:id="1411"/>
      <w:bookmarkEnd w:id="1412"/>
      <w:bookmarkEnd w:id="1413"/>
      <w:bookmarkEnd w:id="1414"/>
    </w:p>
    <w:p w14:paraId="5C9B9F13">
      <w:pPr>
        <w:pStyle w:val="63"/>
        <w:numPr>
          <w:ilvl w:val="1"/>
          <w:numId w:val="8"/>
        </w:numPr>
        <w:spacing w:line="360" w:lineRule="auto"/>
        <w:ind w:firstLineChars="0"/>
        <w:outlineLvl w:val="0"/>
        <w:rPr>
          <w:rFonts w:ascii="Times New Roman" w:hAnsi="Times New Roman" w:cs="Times New Roman"/>
          <w:sz w:val="21"/>
          <w:szCs w:val="21"/>
        </w:rPr>
        <w:sectPr>
          <w:headerReference r:id="rId4" w:type="default"/>
          <w:footerReference r:id="rId5" w:type="default"/>
          <w:pgSz w:w="11906" w:h="16838"/>
          <w:pgMar w:top="1440" w:right="1800" w:bottom="1440" w:left="1800" w:header="851" w:footer="992" w:gutter="0"/>
          <w:cols w:space="720" w:num="1"/>
          <w:docGrid w:type="lines" w:linePitch="312" w:charSpace="0"/>
        </w:sectPr>
      </w:pPr>
      <w:bookmarkStart w:id="1415" w:name="_Toc164420854"/>
      <w:bookmarkStart w:id="1416" w:name="_Toc2219"/>
      <w:bookmarkStart w:id="1417" w:name="_Toc15386302"/>
      <w:bookmarkStart w:id="1418" w:name="_Toc134728957"/>
      <w:bookmarkStart w:id="1419" w:name="_Toc12130"/>
      <w:bookmarkStart w:id="1420" w:name="_Toc13225534"/>
      <w:bookmarkStart w:id="1421" w:name="_Toc406595818"/>
      <w:bookmarkStart w:id="1422" w:name="_Toc407612833"/>
      <w:bookmarkStart w:id="1423" w:name="_Toc535397628"/>
      <w:bookmarkStart w:id="1424" w:name="_Toc407613202"/>
      <w:r>
        <w:rPr>
          <w:rFonts w:ascii="Times New Roman" w:hAnsi="Times New Roman" w:cs="Times New Roman"/>
          <w:sz w:val="21"/>
          <w:szCs w:val="21"/>
        </w:rPr>
        <w:t>本次评标采用综合打分法，是指在满足招标文件实质性要求的前提下，按照招标文件中规定的各项因素进行综合评审后，由评委依据招标文件和评标办法以及有关法律法规的要求对各包中每个合格的投标人进行独立打分，所有评委对各包中同一投标人打分的算术平均值为该投标人的最终得分（所有得分保留小数点后两位，第三位四舍五入）。</w:t>
      </w:r>
      <w:r>
        <w:rPr>
          <w:rFonts w:ascii="Times New Roman" w:hAnsi="Times New Roman" w:cs="Times New Roman"/>
          <w:b/>
          <w:bCs/>
          <w:sz w:val="21"/>
          <w:szCs w:val="21"/>
        </w:rPr>
        <w:t>各投标人按最终得分高低依次排序，得分最高的前</w:t>
      </w:r>
      <w:r>
        <w:rPr>
          <w:rFonts w:hint="eastAsia" w:ascii="Times New Roman" w:hAnsi="Times New Roman" w:cs="Times New Roman"/>
          <w:b/>
          <w:bCs/>
          <w:sz w:val="21"/>
          <w:szCs w:val="21"/>
        </w:rPr>
        <w:t>3</w:t>
      </w:r>
      <w:r>
        <w:rPr>
          <w:rFonts w:ascii="Times New Roman" w:hAnsi="Times New Roman" w:cs="Times New Roman"/>
          <w:b/>
          <w:bCs/>
          <w:sz w:val="21"/>
          <w:szCs w:val="21"/>
        </w:rPr>
        <w:t>名作为该项目</w:t>
      </w:r>
      <w:r>
        <w:rPr>
          <w:rFonts w:hint="eastAsia" w:ascii="Times New Roman" w:hAnsi="Times New Roman" w:cs="Times New Roman"/>
          <w:b/>
          <w:bCs/>
          <w:sz w:val="21"/>
          <w:szCs w:val="21"/>
        </w:rPr>
        <w:t>中标候选人</w:t>
      </w:r>
      <w:r>
        <w:rPr>
          <w:rFonts w:ascii="Times New Roman" w:hAnsi="Times New Roman" w:cs="Times New Roman"/>
          <w:b/>
          <w:bCs/>
          <w:sz w:val="21"/>
          <w:szCs w:val="21"/>
        </w:rPr>
        <w:t>。</w:t>
      </w:r>
      <w:bookmarkEnd w:id="1415"/>
      <w:bookmarkEnd w:id="1416"/>
      <w:bookmarkEnd w:id="1417"/>
      <w:bookmarkEnd w:id="1418"/>
      <w:bookmarkEnd w:id="1419"/>
      <w:bookmarkEnd w:id="1420"/>
      <w:bookmarkEnd w:id="1421"/>
      <w:bookmarkEnd w:id="1422"/>
      <w:bookmarkEnd w:id="1423"/>
      <w:bookmarkEnd w:id="1424"/>
    </w:p>
    <w:p w14:paraId="27E649E9">
      <w:pPr>
        <w:rPr>
          <w:rFonts w:hint="eastAsia"/>
        </w:rPr>
      </w:pPr>
    </w:p>
    <w:p w14:paraId="36BA5B10">
      <w:pPr>
        <w:pStyle w:val="63"/>
        <w:numPr>
          <w:ilvl w:val="1"/>
          <w:numId w:val="8"/>
        </w:numPr>
        <w:spacing w:line="360" w:lineRule="auto"/>
        <w:ind w:firstLineChars="0"/>
        <w:outlineLvl w:val="0"/>
        <w:rPr>
          <w:rFonts w:ascii="Times New Roman" w:hAnsi="Times New Roman" w:cs="Times New Roman"/>
          <w:sz w:val="21"/>
          <w:szCs w:val="21"/>
        </w:rPr>
      </w:pPr>
      <w:bookmarkStart w:id="1425" w:name="_Toc406595819"/>
      <w:bookmarkStart w:id="1426" w:name="_Toc134728958"/>
      <w:bookmarkStart w:id="1427" w:name="_Toc13225535"/>
      <w:bookmarkStart w:id="1428" w:name="_Toc28816"/>
      <w:bookmarkStart w:id="1429" w:name="_Toc164420855"/>
      <w:bookmarkStart w:id="1430" w:name="_Toc407613203"/>
      <w:bookmarkStart w:id="1431" w:name="_Toc15386303"/>
      <w:bookmarkStart w:id="1432" w:name="_Toc1007"/>
      <w:bookmarkStart w:id="1433" w:name="_Toc407612834"/>
      <w:bookmarkStart w:id="1434" w:name="_Toc535397629"/>
      <w:bookmarkStart w:id="1435" w:name="OLE_LINK85"/>
      <w:r>
        <w:rPr>
          <w:rFonts w:ascii="Times New Roman" w:hAnsi="Times New Roman" w:cs="Times New Roman"/>
          <w:sz w:val="21"/>
          <w:szCs w:val="21"/>
        </w:rPr>
        <w:t>本</w:t>
      </w:r>
      <w:r>
        <w:rPr>
          <w:rFonts w:hint="eastAsia" w:ascii="Times New Roman" w:hAnsi="Times New Roman" w:cs="Times New Roman"/>
          <w:sz w:val="21"/>
          <w:szCs w:val="21"/>
        </w:rPr>
        <w:t>项目</w:t>
      </w:r>
      <w:r>
        <w:rPr>
          <w:rFonts w:ascii="Times New Roman" w:hAnsi="Times New Roman" w:cs="Times New Roman"/>
          <w:sz w:val="21"/>
          <w:szCs w:val="21"/>
        </w:rPr>
        <w:t>评标满分为100分， 具体权重划分如下</w:t>
      </w:r>
      <w:r>
        <w:rPr>
          <w:rFonts w:ascii="Times New Roman" w:hAnsi="Times New Roman" w:cs="Times New Roman"/>
          <w:bCs/>
          <w:sz w:val="21"/>
          <w:szCs w:val="21"/>
        </w:rPr>
        <w:t>：</w:t>
      </w:r>
      <w:bookmarkEnd w:id="1425"/>
      <w:bookmarkEnd w:id="1426"/>
      <w:bookmarkEnd w:id="1427"/>
      <w:bookmarkEnd w:id="1428"/>
      <w:bookmarkEnd w:id="1429"/>
      <w:bookmarkEnd w:id="1430"/>
      <w:bookmarkEnd w:id="1431"/>
      <w:bookmarkEnd w:id="1432"/>
      <w:bookmarkEnd w:id="1433"/>
      <w:bookmarkEnd w:id="1434"/>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103"/>
        <w:gridCol w:w="1041"/>
        <w:gridCol w:w="4944"/>
        <w:gridCol w:w="747"/>
      </w:tblGrid>
      <w:tr w14:paraId="4BFE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03" w:type="pct"/>
            <w:shd w:val="clear" w:color="auto" w:fill="C3BD96" w:themeFill="background2" w:themeFillShade="BF"/>
            <w:vAlign w:val="center"/>
          </w:tcPr>
          <w:p w14:paraId="3D3D45DD">
            <w:pPr>
              <w:jc w:val="center"/>
              <w:rPr>
                <w:rFonts w:hint="eastAsia"/>
                <w:sz w:val="21"/>
                <w:szCs w:val="21"/>
              </w:rPr>
            </w:pPr>
            <w:r>
              <w:rPr>
                <w:sz w:val="21"/>
                <w:szCs w:val="21"/>
              </w:rPr>
              <w:t>序号</w:t>
            </w:r>
          </w:p>
        </w:tc>
        <w:tc>
          <w:tcPr>
            <w:tcW w:w="647" w:type="pct"/>
            <w:shd w:val="clear" w:color="auto" w:fill="C3BD96" w:themeFill="background2" w:themeFillShade="BF"/>
            <w:vAlign w:val="center"/>
          </w:tcPr>
          <w:p w14:paraId="74F4FBB5">
            <w:pPr>
              <w:rPr>
                <w:rFonts w:hint="eastAsia"/>
                <w:sz w:val="21"/>
                <w:szCs w:val="21"/>
              </w:rPr>
            </w:pPr>
            <w:r>
              <w:rPr>
                <w:sz w:val="21"/>
                <w:szCs w:val="21"/>
              </w:rPr>
              <w:t>评审条款及分值</w:t>
            </w:r>
          </w:p>
        </w:tc>
        <w:tc>
          <w:tcPr>
            <w:tcW w:w="611" w:type="pct"/>
            <w:shd w:val="clear" w:color="auto" w:fill="C3BD96" w:themeFill="background2" w:themeFillShade="BF"/>
            <w:vAlign w:val="center"/>
          </w:tcPr>
          <w:p w14:paraId="6838BC9A">
            <w:pPr>
              <w:rPr>
                <w:rFonts w:hint="eastAsia"/>
                <w:sz w:val="21"/>
                <w:szCs w:val="21"/>
              </w:rPr>
            </w:pPr>
            <w:r>
              <w:rPr>
                <w:sz w:val="21"/>
                <w:szCs w:val="21"/>
              </w:rPr>
              <w:t>评审</w:t>
            </w:r>
            <w:r>
              <w:rPr>
                <w:rFonts w:hint="eastAsia"/>
                <w:sz w:val="21"/>
                <w:szCs w:val="21"/>
              </w:rPr>
              <w:t>项</w:t>
            </w:r>
          </w:p>
        </w:tc>
        <w:tc>
          <w:tcPr>
            <w:tcW w:w="2901" w:type="pct"/>
            <w:shd w:val="clear" w:color="auto" w:fill="C3BD96" w:themeFill="background2" w:themeFillShade="BF"/>
            <w:vAlign w:val="center"/>
          </w:tcPr>
          <w:p w14:paraId="5CEB63E3">
            <w:pPr>
              <w:rPr>
                <w:rFonts w:hint="eastAsia"/>
                <w:sz w:val="21"/>
                <w:szCs w:val="21"/>
              </w:rPr>
            </w:pPr>
            <w:r>
              <w:rPr>
                <w:rFonts w:hint="eastAsia"/>
                <w:sz w:val="21"/>
                <w:szCs w:val="21"/>
              </w:rPr>
              <w:t>评审标准</w:t>
            </w:r>
          </w:p>
        </w:tc>
        <w:tc>
          <w:tcPr>
            <w:tcW w:w="438" w:type="pct"/>
            <w:shd w:val="clear" w:color="auto" w:fill="C3BD96" w:themeFill="background2" w:themeFillShade="BF"/>
            <w:vAlign w:val="center"/>
          </w:tcPr>
          <w:p w14:paraId="6C7019F7">
            <w:pPr>
              <w:jc w:val="center"/>
              <w:rPr>
                <w:rFonts w:hint="eastAsia"/>
                <w:sz w:val="21"/>
                <w:szCs w:val="21"/>
              </w:rPr>
            </w:pPr>
            <w:r>
              <w:rPr>
                <w:sz w:val="21"/>
                <w:szCs w:val="21"/>
              </w:rPr>
              <w:t>分值</w:t>
            </w:r>
          </w:p>
        </w:tc>
      </w:tr>
      <w:tr w14:paraId="6BDE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403" w:type="pct"/>
            <w:vAlign w:val="center"/>
          </w:tcPr>
          <w:p w14:paraId="49EC9CA9">
            <w:pPr>
              <w:jc w:val="center"/>
              <w:rPr>
                <w:rFonts w:hint="eastAsia"/>
                <w:sz w:val="21"/>
                <w:szCs w:val="21"/>
              </w:rPr>
            </w:pPr>
            <w:r>
              <w:rPr>
                <w:sz w:val="21"/>
                <w:szCs w:val="21"/>
              </w:rPr>
              <w:t>1</w:t>
            </w:r>
          </w:p>
        </w:tc>
        <w:tc>
          <w:tcPr>
            <w:tcW w:w="647" w:type="pct"/>
            <w:vAlign w:val="center"/>
          </w:tcPr>
          <w:p w14:paraId="543B25BB">
            <w:pPr>
              <w:rPr>
                <w:rFonts w:hint="eastAsia"/>
                <w:sz w:val="21"/>
                <w:szCs w:val="21"/>
              </w:rPr>
            </w:pPr>
            <w:r>
              <w:rPr>
                <w:sz w:val="21"/>
                <w:szCs w:val="21"/>
              </w:rPr>
              <w:t>价格</w:t>
            </w:r>
            <w:r>
              <w:rPr>
                <w:rFonts w:hint="eastAsia"/>
                <w:sz w:val="21"/>
                <w:szCs w:val="21"/>
              </w:rPr>
              <w:t>部分</w:t>
            </w:r>
          </w:p>
        </w:tc>
        <w:tc>
          <w:tcPr>
            <w:tcW w:w="611" w:type="pct"/>
            <w:vAlign w:val="center"/>
          </w:tcPr>
          <w:p w14:paraId="4517DC78">
            <w:pPr>
              <w:rPr>
                <w:rFonts w:hint="eastAsia"/>
                <w:sz w:val="21"/>
                <w:szCs w:val="21"/>
              </w:rPr>
            </w:pPr>
            <w:r>
              <w:rPr>
                <w:rFonts w:hint="eastAsia"/>
                <w:sz w:val="21"/>
                <w:szCs w:val="21"/>
              </w:rPr>
              <w:t>价格</w:t>
            </w:r>
            <w:r>
              <w:rPr>
                <w:sz w:val="21"/>
                <w:szCs w:val="21"/>
              </w:rPr>
              <w:t>得分</w:t>
            </w:r>
          </w:p>
        </w:tc>
        <w:tc>
          <w:tcPr>
            <w:tcW w:w="2901" w:type="pct"/>
            <w:vAlign w:val="center"/>
          </w:tcPr>
          <w:p w14:paraId="5CE614EB">
            <w:pPr>
              <w:rPr>
                <w:rFonts w:hint="eastAsia"/>
                <w:sz w:val="21"/>
                <w:szCs w:val="21"/>
              </w:rPr>
            </w:pPr>
            <w:r>
              <w:rPr>
                <w:sz w:val="21"/>
                <w:szCs w:val="21"/>
              </w:rPr>
              <w:t>1.</w:t>
            </w:r>
            <w:r>
              <w:rPr>
                <w:rFonts w:hint="eastAsia"/>
                <w:sz w:val="21"/>
                <w:szCs w:val="21"/>
              </w:rPr>
              <w:t>评标基准价：所有有效投标的报价平均值为评标基准价，其价格分为满分。</w:t>
            </w:r>
            <w:r>
              <w:rPr>
                <w:sz w:val="21"/>
                <w:szCs w:val="21"/>
              </w:rPr>
              <w:t xml:space="preserve"> </w:t>
            </w:r>
          </w:p>
          <w:p w14:paraId="6F6324FD">
            <w:pPr>
              <w:rPr>
                <w:rFonts w:hint="eastAsia"/>
                <w:sz w:val="21"/>
                <w:szCs w:val="21"/>
              </w:rPr>
            </w:pPr>
            <w:r>
              <w:rPr>
                <w:sz w:val="21"/>
                <w:szCs w:val="21"/>
              </w:rPr>
              <w:t>2.</w:t>
            </w:r>
            <w:r>
              <w:rPr>
                <w:rFonts w:hint="eastAsia"/>
                <w:sz w:val="21"/>
                <w:szCs w:val="21"/>
              </w:rPr>
              <w:t>得分计算：正偏差率每</w:t>
            </w:r>
            <w:r>
              <w:rPr>
                <w:sz w:val="21"/>
                <w:szCs w:val="21"/>
              </w:rPr>
              <w:t>1%</w:t>
            </w:r>
            <w:r>
              <w:rPr>
                <w:rFonts w:hint="eastAsia"/>
                <w:sz w:val="21"/>
                <w:szCs w:val="21"/>
              </w:rPr>
              <w:t>扣</w:t>
            </w:r>
            <w:r>
              <w:rPr>
                <w:sz w:val="21"/>
                <w:szCs w:val="21"/>
              </w:rPr>
              <w:t>0.5</w:t>
            </w:r>
            <w:r>
              <w:rPr>
                <w:rFonts w:hint="eastAsia"/>
                <w:sz w:val="21"/>
                <w:szCs w:val="21"/>
              </w:rPr>
              <w:t>分，负偏差率每</w:t>
            </w:r>
            <w:r>
              <w:rPr>
                <w:sz w:val="21"/>
                <w:szCs w:val="21"/>
              </w:rPr>
              <w:t>1%</w:t>
            </w:r>
            <w:r>
              <w:rPr>
                <w:rFonts w:hint="eastAsia"/>
                <w:sz w:val="21"/>
                <w:szCs w:val="21"/>
              </w:rPr>
              <w:t>扣</w:t>
            </w:r>
            <w:r>
              <w:rPr>
                <w:sz w:val="21"/>
                <w:szCs w:val="21"/>
              </w:rPr>
              <w:t>0.25</w:t>
            </w:r>
            <w:r>
              <w:rPr>
                <w:rFonts w:hint="eastAsia"/>
                <w:sz w:val="21"/>
                <w:szCs w:val="21"/>
              </w:rPr>
              <w:t>分，不足</w:t>
            </w:r>
            <w:r>
              <w:rPr>
                <w:sz w:val="21"/>
                <w:szCs w:val="21"/>
              </w:rPr>
              <w:t>1%</w:t>
            </w:r>
            <w:r>
              <w:rPr>
                <w:rFonts w:hint="eastAsia"/>
                <w:sz w:val="21"/>
                <w:szCs w:val="21"/>
              </w:rPr>
              <w:t>时按内差法计算，最高扣</w:t>
            </w:r>
            <w:r>
              <w:rPr>
                <w:sz w:val="21"/>
                <w:szCs w:val="21"/>
              </w:rPr>
              <w:t>10</w:t>
            </w:r>
            <w:r>
              <w:rPr>
                <w:rFonts w:hint="eastAsia"/>
                <w:sz w:val="21"/>
                <w:szCs w:val="21"/>
              </w:rPr>
              <w:t>分。</w:t>
            </w:r>
            <w:r>
              <w:rPr>
                <w:sz w:val="21"/>
                <w:szCs w:val="21"/>
              </w:rPr>
              <w:t xml:space="preserve"> </w:t>
            </w:r>
          </w:p>
          <w:p w14:paraId="483C67B5">
            <w:pPr>
              <w:rPr>
                <w:rFonts w:hint="eastAsia"/>
                <w:sz w:val="21"/>
                <w:szCs w:val="21"/>
              </w:rPr>
            </w:pPr>
            <w:r>
              <w:rPr>
                <w:sz w:val="21"/>
                <w:szCs w:val="21"/>
              </w:rPr>
              <w:t>3.</w:t>
            </w:r>
            <w:r>
              <w:rPr>
                <w:rFonts w:hint="eastAsia"/>
                <w:sz w:val="21"/>
                <w:szCs w:val="21"/>
              </w:rPr>
              <w:t>得分保留小数点后两位。</w:t>
            </w:r>
            <w:r>
              <w:rPr>
                <w:sz w:val="21"/>
                <w:szCs w:val="21"/>
              </w:rPr>
              <w:t xml:space="preserve"> </w:t>
            </w:r>
          </w:p>
        </w:tc>
        <w:tc>
          <w:tcPr>
            <w:tcW w:w="438" w:type="pct"/>
            <w:vAlign w:val="center"/>
          </w:tcPr>
          <w:p w14:paraId="1A8756ED">
            <w:pPr>
              <w:jc w:val="center"/>
              <w:rPr>
                <w:rFonts w:hint="eastAsia"/>
                <w:sz w:val="21"/>
                <w:szCs w:val="21"/>
              </w:rPr>
            </w:pPr>
            <w:r>
              <w:rPr>
                <w:sz w:val="21"/>
                <w:szCs w:val="21"/>
              </w:rPr>
              <w:t>25</w:t>
            </w:r>
          </w:p>
        </w:tc>
      </w:tr>
      <w:tr w14:paraId="7119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03" w:type="pct"/>
            <w:vAlign w:val="center"/>
          </w:tcPr>
          <w:p w14:paraId="4AA5A888">
            <w:pPr>
              <w:jc w:val="center"/>
              <w:rPr>
                <w:rFonts w:hint="eastAsia"/>
                <w:sz w:val="21"/>
                <w:szCs w:val="21"/>
              </w:rPr>
            </w:pPr>
            <w:r>
              <w:rPr>
                <w:sz w:val="21"/>
                <w:szCs w:val="21"/>
              </w:rPr>
              <w:t>2</w:t>
            </w:r>
          </w:p>
        </w:tc>
        <w:tc>
          <w:tcPr>
            <w:tcW w:w="647" w:type="pct"/>
            <w:vMerge w:val="restart"/>
            <w:vAlign w:val="center"/>
          </w:tcPr>
          <w:p w14:paraId="0AE9FCAA">
            <w:pPr>
              <w:rPr>
                <w:rFonts w:hint="eastAsia"/>
                <w:sz w:val="21"/>
                <w:szCs w:val="21"/>
              </w:rPr>
            </w:pPr>
            <w:r>
              <w:rPr>
                <w:rFonts w:hint="eastAsia"/>
                <w:sz w:val="21"/>
                <w:szCs w:val="21"/>
              </w:rPr>
              <w:t>商务部分</w:t>
            </w:r>
          </w:p>
        </w:tc>
        <w:tc>
          <w:tcPr>
            <w:tcW w:w="611" w:type="pct"/>
            <w:vAlign w:val="center"/>
          </w:tcPr>
          <w:p w14:paraId="18DC921B">
            <w:pPr>
              <w:rPr>
                <w:rFonts w:hint="eastAsia"/>
                <w:sz w:val="21"/>
                <w:szCs w:val="21"/>
              </w:rPr>
            </w:pPr>
            <w:r>
              <w:rPr>
                <w:rFonts w:hint="eastAsia"/>
                <w:sz w:val="21"/>
                <w:szCs w:val="21"/>
              </w:rPr>
              <w:t>履约能力</w:t>
            </w:r>
          </w:p>
        </w:tc>
        <w:tc>
          <w:tcPr>
            <w:tcW w:w="2901" w:type="pct"/>
            <w:vAlign w:val="center"/>
          </w:tcPr>
          <w:p w14:paraId="5F075723">
            <w:pPr>
              <w:rPr>
                <w:rFonts w:hint="eastAsia"/>
                <w:sz w:val="21"/>
                <w:szCs w:val="21"/>
              </w:rPr>
            </w:pPr>
            <w:r>
              <w:rPr>
                <w:rFonts w:hint="eastAsia"/>
                <w:sz w:val="21"/>
                <w:szCs w:val="21"/>
              </w:rPr>
              <w:t>投标人具有有效的以下</w:t>
            </w:r>
            <w:r>
              <w:rPr>
                <w:sz w:val="21"/>
                <w:szCs w:val="21"/>
              </w:rPr>
              <w:t>认证证书，</w:t>
            </w:r>
            <w:r>
              <w:rPr>
                <w:rFonts w:hint="eastAsia"/>
                <w:sz w:val="21"/>
                <w:szCs w:val="21"/>
              </w:rPr>
              <w:t>满足一项得</w:t>
            </w:r>
            <w:r>
              <w:rPr>
                <w:sz w:val="21"/>
                <w:szCs w:val="21"/>
              </w:rPr>
              <w:t>1</w:t>
            </w:r>
            <w:r>
              <w:rPr>
                <w:rFonts w:hint="eastAsia"/>
                <w:sz w:val="21"/>
                <w:szCs w:val="21"/>
              </w:rPr>
              <w:t>分，最高得5分：</w:t>
            </w:r>
          </w:p>
          <w:p w14:paraId="0F31FE4A">
            <w:pPr>
              <w:rPr>
                <w:rFonts w:hint="eastAsia"/>
                <w:sz w:val="21"/>
                <w:szCs w:val="21"/>
              </w:rPr>
            </w:pPr>
            <w:r>
              <w:rPr>
                <w:rFonts w:hint="eastAsia"/>
                <w:sz w:val="21"/>
                <w:szCs w:val="21"/>
              </w:rPr>
              <w:t>1、IT服务管理体系认证（ISO 20000）。</w:t>
            </w:r>
          </w:p>
          <w:p w14:paraId="558A9F4B">
            <w:pPr>
              <w:rPr>
                <w:rFonts w:hint="eastAsia"/>
                <w:sz w:val="21"/>
                <w:szCs w:val="21"/>
              </w:rPr>
            </w:pPr>
            <w:r>
              <w:rPr>
                <w:rFonts w:hint="eastAsia"/>
                <w:sz w:val="21"/>
                <w:szCs w:val="21"/>
              </w:rPr>
              <w:t>2、信息安全管理体系认证（ISO 27001）</w:t>
            </w:r>
          </w:p>
          <w:p w14:paraId="15A6A261">
            <w:pPr>
              <w:rPr>
                <w:rFonts w:hint="eastAsia"/>
                <w:sz w:val="21"/>
                <w:szCs w:val="21"/>
              </w:rPr>
            </w:pPr>
            <w:r>
              <w:rPr>
                <w:rFonts w:hint="eastAsia"/>
                <w:sz w:val="21"/>
                <w:szCs w:val="21"/>
              </w:rPr>
              <w:t>3、质量管理体系认证（ISO 9001）。</w:t>
            </w:r>
          </w:p>
          <w:p w14:paraId="1718678D">
            <w:pPr>
              <w:rPr>
                <w:rFonts w:hint="eastAsia"/>
                <w:sz w:val="21"/>
                <w:szCs w:val="21"/>
              </w:rPr>
            </w:pPr>
            <w:r>
              <w:rPr>
                <w:rFonts w:hint="eastAsia"/>
                <w:sz w:val="21"/>
                <w:szCs w:val="21"/>
              </w:rPr>
              <w:t>4、信息系统安全集成服务资质认证。</w:t>
            </w:r>
          </w:p>
          <w:p w14:paraId="5BFFAD66">
            <w:pPr>
              <w:rPr>
                <w:rFonts w:hint="eastAsia"/>
                <w:sz w:val="21"/>
                <w:szCs w:val="21"/>
              </w:rPr>
            </w:pPr>
            <w:r>
              <w:rPr>
                <w:rFonts w:hint="eastAsia"/>
                <w:sz w:val="21"/>
                <w:szCs w:val="21"/>
              </w:rPr>
              <w:t>5、信息系统建设和服务能力等级证书。</w:t>
            </w:r>
          </w:p>
        </w:tc>
        <w:tc>
          <w:tcPr>
            <w:tcW w:w="438" w:type="pct"/>
            <w:vAlign w:val="center"/>
          </w:tcPr>
          <w:p w14:paraId="629DB429">
            <w:pPr>
              <w:jc w:val="center"/>
              <w:rPr>
                <w:rFonts w:hint="eastAsia"/>
                <w:sz w:val="21"/>
                <w:szCs w:val="21"/>
              </w:rPr>
            </w:pPr>
            <w:r>
              <w:rPr>
                <w:rFonts w:hint="eastAsia"/>
                <w:sz w:val="21"/>
                <w:szCs w:val="21"/>
              </w:rPr>
              <w:t>5</w:t>
            </w:r>
          </w:p>
        </w:tc>
      </w:tr>
      <w:tr w14:paraId="1C59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403" w:type="pct"/>
            <w:vAlign w:val="center"/>
          </w:tcPr>
          <w:p w14:paraId="05445D23">
            <w:pPr>
              <w:jc w:val="center"/>
              <w:rPr>
                <w:rFonts w:hint="eastAsia"/>
                <w:sz w:val="21"/>
                <w:szCs w:val="21"/>
              </w:rPr>
            </w:pPr>
            <w:r>
              <w:rPr>
                <w:rFonts w:hint="eastAsia"/>
                <w:sz w:val="21"/>
                <w:szCs w:val="21"/>
              </w:rPr>
              <w:t>3</w:t>
            </w:r>
          </w:p>
        </w:tc>
        <w:tc>
          <w:tcPr>
            <w:tcW w:w="647" w:type="pct"/>
            <w:vMerge w:val="continue"/>
            <w:vAlign w:val="center"/>
          </w:tcPr>
          <w:p w14:paraId="7F2EE9CE">
            <w:pPr>
              <w:rPr>
                <w:rFonts w:hint="eastAsia"/>
                <w:sz w:val="21"/>
                <w:szCs w:val="21"/>
              </w:rPr>
            </w:pPr>
          </w:p>
        </w:tc>
        <w:tc>
          <w:tcPr>
            <w:tcW w:w="611" w:type="pct"/>
            <w:vAlign w:val="center"/>
          </w:tcPr>
          <w:p w14:paraId="35CC7C5C">
            <w:pPr>
              <w:rPr>
                <w:rFonts w:hint="eastAsia"/>
                <w:sz w:val="21"/>
                <w:szCs w:val="21"/>
              </w:rPr>
            </w:pPr>
            <w:r>
              <w:rPr>
                <w:rFonts w:hint="eastAsia"/>
                <w:sz w:val="21"/>
                <w:szCs w:val="21"/>
              </w:rPr>
              <w:t>投标人业绩</w:t>
            </w:r>
          </w:p>
        </w:tc>
        <w:tc>
          <w:tcPr>
            <w:tcW w:w="2901" w:type="pct"/>
            <w:vAlign w:val="center"/>
          </w:tcPr>
          <w:p w14:paraId="3BDAB066">
            <w:pPr>
              <w:rPr>
                <w:rFonts w:hint="eastAsia"/>
                <w:sz w:val="21"/>
                <w:szCs w:val="21"/>
              </w:rPr>
            </w:pPr>
            <w:r>
              <w:rPr>
                <w:rFonts w:hint="eastAsia"/>
                <w:sz w:val="21"/>
                <w:szCs w:val="21"/>
              </w:rPr>
              <w:t>提供投标人近三年（指合同签订日期为2</w:t>
            </w:r>
            <w:r>
              <w:rPr>
                <w:sz w:val="21"/>
                <w:szCs w:val="21"/>
              </w:rPr>
              <w:t>02</w:t>
            </w:r>
            <w:r>
              <w:rPr>
                <w:rFonts w:hint="eastAsia"/>
                <w:sz w:val="21"/>
                <w:szCs w:val="21"/>
              </w:rPr>
              <w:t>2年6月1日至本项目招标公告发布之日止）具有200万以上的硬件集成项目类似业绩，有一个得</w:t>
            </w:r>
            <w:r>
              <w:rPr>
                <w:sz w:val="21"/>
                <w:szCs w:val="21"/>
              </w:rPr>
              <w:t>1</w:t>
            </w:r>
            <w:r>
              <w:rPr>
                <w:rFonts w:hint="eastAsia"/>
                <w:sz w:val="21"/>
                <w:szCs w:val="21"/>
              </w:rPr>
              <w:t>分，最高不超过5分。</w:t>
            </w:r>
          </w:p>
          <w:p w14:paraId="7F0A963E">
            <w:pPr>
              <w:rPr>
                <w:rFonts w:hint="eastAsia"/>
                <w:sz w:val="21"/>
                <w:szCs w:val="21"/>
              </w:rPr>
            </w:pPr>
            <w:r>
              <w:rPr>
                <w:rFonts w:hint="eastAsia"/>
                <w:sz w:val="21"/>
                <w:szCs w:val="21"/>
              </w:rPr>
              <w:t>注：需提供合同复印件关键页（包括合同首页、合同盖章页及显示项目内容的相关页），否则不予认可。</w:t>
            </w:r>
          </w:p>
        </w:tc>
        <w:tc>
          <w:tcPr>
            <w:tcW w:w="438" w:type="pct"/>
            <w:vAlign w:val="center"/>
          </w:tcPr>
          <w:p w14:paraId="60DE9BA4">
            <w:pPr>
              <w:jc w:val="center"/>
              <w:rPr>
                <w:rFonts w:hint="eastAsia"/>
                <w:sz w:val="21"/>
                <w:szCs w:val="21"/>
              </w:rPr>
            </w:pPr>
            <w:r>
              <w:rPr>
                <w:rFonts w:hint="eastAsia"/>
                <w:sz w:val="21"/>
                <w:szCs w:val="21"/>
              </w:rPr>
              <w:t>5</w:t>
            </w:r>
          </w:p>
        </w:tc>
      </w:tr>
      <w:tr w14:paraId="1642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03" w:type="pct"/>
            <w:vAlign w:val="center"/>
          </w:tcPr>
          <w:p w14:paraId="757F329C">
            <w:pPr>
              <w:jc w:val="center"/>
              <w:rPr>
                <w:rFonts w:hint="eastAsia"/>
                <w:sz w:val="21"/>
                <w:szCs w:val="21"/>
              </w:rPr>
            </w:pPr>
            <w:r>
              <w:rPr>
                <w:rFonts w:hint="eastAsia"/>
                <w:sz w:val="21"/>
                <w:szCs w:val="21"/>
              </w:rPr>
              <w:t>4</w:t>
            </w:r>
          </w:p>
        </w:tc>
        <w:tc>
          <w:tcPr>
            <w:tcW w:w="647" w:type="pct"/>
            <w:vMerge w:val="restart"/>
            <w:vAlign w:val="center"/>
          </w:tcPr>
          <w:p w14:paraId="4AD1A5F2">
            <w:pPr>
              <w:rPr>
                <w:rFonts w:hint="eastAsia"/>
                <w:sz w:val="21"/>
                <w:szCs w:val="21"/>
              </w:rPr>
            </w:pPr>
            <w:r>
              <w:rPr>
                <w:rFonts w:hint="eastAsia"/>
                <w:sz w:val="21"/>
                <w:szCs w:val="21"/>
              </w:rPr>
              <w:t>技术及服务部分</w:t>
            </w:r>
          </w:p>
        </w:tc>
        <w:tc>
          <w:tcPr>
            <w:tcW w:w="611" w:type="pct"/>
            <w:vAlign w:val="center"/>
          </w:tcPr>
          <w:p w14:paraId="4A128E66">
            <w:pPr>
              <w:rPr>
                <w:rFonts w:hint="eastAsia"/>
                <w:sz w:val="21"/>
                <w:szCs w:val="21"/>
              </w:rPr>
            </w:pPr>
            <w:r>
              <w:rPr>
                <w:rFonts w:hint="eastAsia"/>
                <w:sz w:val="21"/>
                <w:szCs w:val="21"/>
              </w:rPr>
              <w:t>货物功能、性能技术指标响应情况</w:t>
            </w:r>
          </w:p>
        </w:tc>
        <w:tc>
          <w:tcPr>
            <w:tcW w:w="2901" w:type="pct"/>
            <w:vAlign w:val="center"/>
          </w:tcPr>
          <w:p w14:paraId="4CD96E02">
            <w:pPr>
              <w:rPr>
                <w:rFonts w:hint="eastAsia"/>
                <w:sz w:val="21"/>
                <w:szCs w:val="21"/>
              </w:rPr>
            </w:pPr>
            <w:r>
              <w:rPr>
                <w:rFonts w:hint="eastAsia"/>
                <w:sz w:val="21"/>
                <w:szCs w:val="21"/>
              </w:rPr>
              <w:t>满足技术需求文件中货物（或服务）产品技术指标的全部技术指标得满分。#代表重要指标，不满足将导致扣3分，无标识则表示一般指标项，不满足扣</w:t>
            </w:r>
            <w:r>
              <w:rPr>
                <w:sz w:val="21"/>
                <w:szCs w:val="21"/>
              </w:rPr>
              <w:t>1</w:t>
            </w:r>
            <w:r>
              <w:rPr>
                <w:rFonts w:hint="eastAsia"/>
                <w:sz w:val="21"/>
                <w:szCs w:val="21"/>
              </w:rPr>
              <w:t>分，扣完为止。</w:t>
            </w:r>
          </w:p>
        </w:tc>
        <w:tc>
          <w:tcPr>
            <w:tcW w:w="438" w:type="pct"/>
            <w:vAlign w:val="center"/>
          </w:tcPr>
          <w:p w14:paraId="1609C5DF">
            <w:pPr>
              <w:jc w:val="center"/>
              <w:rPr>
                <w:rFonts w:hint="eastAsia"/>
                <w:sz w:val="21"/>
                <w:szCs w:val="21"/>
              </w:rPr>
            </w:pPr>
            <w:r>
              <w:rPr>
                <w:rFonts w:hint="eastAsia"/>
                <w:sz w:val="21"/>
                <w:szCs w:val="21"/>
              </w:rPr>
              <w:t>40</w:t>
            </w:r>
          </w:p>
        </w:tc>
      </w:tr>
      <w:tr w14:paraId="6F71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03" w:type="pct"/>
            <w:vAlign w:val="center"/>
          </w:tcPr>
          <w:p w14:paraId="009205ED">
            <w:pPr>
              <w:jc w:val="center"/>
              <w:rPr>
                <w:rFonts w:hint="eastAsia"/>
                <w:sz w:val="21"/>
                <w:szCs w:val="21"/>
              </w:rPr>
            </w:pPr>
            <w:r>
              <w:rPr>
                <w:rFonts w:hint="eastAsia"/>
                <w:sz w:val="21"/>
                <w:szCs w:val="21"/>
              </w:rPr>
              <w:t>5</w:t>
            </w:r>
          </w:p>
        </w:tc>
        <w:tc>
          <w:tcPr>
            <w:tcW w:w="647" w:type="pct"/>
            <w:vMerge w:val="continue"/>
            <w:vAlign w:val="center"/>
          </w:tcPr>
          <w:p w14:paraId="07452F5F">
            <w:pPr>
              <w:rPr>
                <w:rFonts w:hint="eastAsia"/>
                <w:sz w:val="21"/>
                <w:szCs w:val="21"/>
              </w:rPr>
            </w:pPr>
          </w:p>
        </w:tc>
        <w:tc>
          <w:tcPr>
            <w:tcW w:w="611" w:type="pct"/>
            <w:vAlign w:val="center"/>
          </w:tcPr>
          <w:p w14:paraId="00E37A2E">
            <w:pPr>
              <w:rPr>
                <w:rFonts w:hint="eastAsia"/>
                <w:sz w:val="21"/>
                <w:szCs w:val="21"/>
              </w:rPr>
            </w:pPr>
            <w:r>
              <w:rPr>
                <w:rFonts w:hint="eastAsia"/>
                <w:sz w:val="21"/>
                <w:szCs w:val="21"/>
              </w:rPr>
              <w:t>总体方案</w:t>
            </w:r>
          </w:p>
        </w:tc>
        <w:tc>
          <w:tcPr>
            <w:tcW w:w="2901" w:type="pct"/>
            <w:vAlign w:val="center"/>
          </w:tcPr>
          <w:p w14:paraId="5E9ECC78">
            <w:pPr>
              <w:rPr>
                <w:rFonts w:hint="eastAsia"/>
                <w:sz w:val="21"/>
                <w:szCs w:val="21"/>
              </w:rPr>
            </w:pPr>
            <w:r>
              <w:rPr>
                <w:rFonts w:hint="eastAsia"/>
                <w:sz w:val="21"/>
                <w:szCs w:val="21"/>
              </w:rPr>
              <w:t>考察参选人所提供的总体</w:t>
            </w:r>
            <w:r>
              <w:rPr>
                <w:sz w:val="21"/>
                <w:szCs w:val="21"/>
              </w:rPr>
              <w:t>方案设计</w:t>
            </w:r>
            <w:r>
              <w:rPr>
                <w:rFonts w:hint="eastAsia"/>
                <w:sz w:val="21"/>
                <w:szCs w:val="21"/>
              </w:rPr>
              <w:t>的科学性、合理性</w:t>
            </w:r>
            <w:r>
              <w:rPr>
                <w:sz w:val="21"/>
                <w:szCs w:val="21"/>
              </w:rPr>
              <w:t>和</w:t>
            </w:r>
            <w:r>
              <w:rPr>
                <w:rFonts w:hint="eastAsia"/>
                <w:sz w:val="21"/>
                <w:szCs w:val="21"/>
              </w:rPr>
              <w:t>完整性，包括不限于拓扑图、产品选型、方案原则、功能介绍、数据分析等方案设计思路。</w:t>
            </w:r>
          </w:p>
          <w:p w14:paraId="307874FC">
            <w:pPr>
              <w:rPr>
                <w:rFonts w:hint="eastAsia"/>
                <w:sz w:val="21"/>
                <w:szCs w:val="21"/>
              </w:rPr>
            </w:pPr>
            <w:r>
              <w:rPr>
                <w:rFonts w:hint="eastAsia"/>
                <w:sz w:val="21"/>
                <w:szCs w:val="21"/>
              </w:rPr>
              <w:t>阐述方案与需求契合度高、可执行性强，得4-5分；</w:t>
            </w:r>
          </w:p>
          <w:p w14:paraId="4121A6C5">
            <w:pPr>
              <w:rPr>
                <w:rFonts w:hint="eastAsia"/>
                <w:sz w:val="21"/>
                <w:szCs w:val="21"/>
              </w:rPr>
            </w:pPr>
            <w:r>
              <w:rPr>
                <w:rFonts w:hint="eastAsia"/>
                <w:sz w:val="21"/>
                <w:szCs w:val="21"/>
              </w:rPr>
              <w:t>阐述方案与需求契合度一般、可执行性一般，得2-3分；</w:t>
            </w:r>
          </w:p>
          <w:p w14:paraId="1DADA9C1">
            <w:pPr>
              <w:rPr>
                <w:rFonts w:hint="eastAsia"/>
                <w:sz w:val="21"/>
                <w:szCs w:val="21"/>
              </w:rPr>
            </w:pPr>
            <w:r>
              <w:rPr>
                <w:rFonts w:hint="eastAsia"/>
                <w:sz w:val="21"/>
                <w:szCs w:val="21"/>
              </w:rPr>
              <w:t>阐述方案与需求契合度差得1分；</w:t>
            </w:r>
          </w:p>
          <w:p w14:paraId="4A10D2A2">
            <w:pPr>
              <w:rPr>
                <w:rFonts w:hint="eastAsia"/>
                <w:sz w:val="21"/>
                <w:szCs w:val="21"/>
              </w:rPr>
            </w:pPr>
            <w:r>
              <w:rPr>
                <w:rFonts w:hint="eastAsia"/>
                <w:sz w:val="21"/>
                <w:szCs w:val="21"/>
              </w:rPr>
              <w:t>未进行阐述，得0分。</w:t>
            </w:r>
          </w:p>
        </w:tc>
        <w:tc>
          <w:tcPr>
            <w:tcW w:w="438" w:type="pct"/>
            <w:vAlign w:val="center"/>
          </w:tcPr>
          <w:p w14:paraId="1D160E3A">
            <w:pPr>
              <w:jc w:val="center"/>
              <w:rPr>
                <w:rFonts w:hint="eastAsia"/>
                <w:sz w:val="21"/>
                <w:szCs w:val="21"/>
                <w:highlight w:val="yellow"/>
              </w:rPr>
            </w:pPr>
            <w:r>
              <w:rPr>
                <w:sz w:val="21"/>
                <w:szCs w:val="21"/>
              </w:rPr>
              <w:t>5</w:t>
            </w:r>
          </w:p>
        </w:tc>
      </w:tr>
      <w:tr w14:paraId="5A20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4A324438">
            <w:pPr>
              <w:jc w:val="center"/>
              <w:rPr>
                <w:rFonts w:hint="eastAsia"/>
                <w:sz w:val="21"/>
                <w:szCs w:val="21"/>
              </w:rPr>
            </w:pPr>
            <w:r>
              <w:rPr>
                <w:rFonts w:hint="eastAsia"/>
                <w:sz w:val="21"/>
                <w:szCs w:val="21"/>
              </w:rPr>
              <w:t>6</w:t>
            </w:r>
          </w:p>
        </w:tc>
        <w:tc>
          <w:tcPr>
            <w:tcW w:w="647" w:type="pct"/>
            <w:vMerge w:val="continue"/>
            <w:vAlign w:val="center"/>
          </w:tcPr>
          <w:p w14:paraId="2E1CEC20">
            <w:pPr>
              <w:rPr>
                <w:rFonts w:hint="eastAsia"/>
                <w:sz w:val="21"/>
                <w:szCs w:val="21"/>
              </w:rPr>
            </w:pPr>
          </w:p>
        </w:tc>
        <w:tc>
          <w:tcPr>
            <w:tcW w:w="611" w:type="pct"/>
            <w:vAlign w:val="center"/>
          </w:tcPr>
          <w:p w14:paraId="27B53607">
            <w:pPr>
              <w:rPr>
                <w:rFonts w:hint="eastAsia"/>
                <w:sz w:val="21"/>
                <w:szCs w:val="21"/>
              </w:rPr>
            </w:pPr>
            <w:r>
              <w:rPr>
                <w:rFonts w:hint="eastAsia"/>
                <w:sz w:val="21"/>
                <w:szCs w:val="21"/>
              </w:rPr>
              <w:t>项目实施方案</w:t>
            </w:r>
          </w:p>
        </w:tc>
        <w:tc>
          <w:tcPr>
            <w:tcW w:w="2901" w:type="pct"/>
            <w:vAlign w:val="center"/>
          </w:tcPr>
          <w:p w14:paraId="76FAE684">
            <w:pPr>
              <w:rPr>
                <w:rFonts w:hint="eastAsia"/>
                <w:sz w:val="21"/>
                <w:szCs w:val="21"/>
              </w:rPr>
            </w:pPr>
            <w:r>
              <w:rPr>
                <w:rFonts w:hint="eastAsia"/>
                <w:sz w:val="21"/>
                <w:szCs w:val="21"/>
              </w:rPr>
              <w:t>考察参选人对本项目部署、实施与支持方案的合理性和可操作性。具体需求包括：设备部署、实施支持方案等。</w:t>
            </w:r>
          </w:p>
          <w:p w14:paraId="45D71388">
            <w:pPr>
              <w:rPr>
                <w:rFonts w:hint="eastAsia"/>
                <w:sz w:val="21"/>
                <w:szCs w:val="21"/>
              </w:rPr>
            </w:pPr>
            <w:r>
              <w:rPr>
                <w:rFonts w:hint="eastAsia"/>
                <w:sz w:val="21"/>
                <w:szCs w:val="21"/>
              </w:rPr>
              <w:t>方案非常符合本项目实际情况，可操作性很强、兼容性好得4-5分；</w:t>
            </w:r>
          </w:p>
          <w:p w14:paraId="1DF4CD5E">
            <w:pPr>
              <w:rPr>
                <w:rFonts w:hint="eastAsia"/>
                <w:sz w:val="21"/>
                <w:szCs w:val="21"/>
              </w:rPr>
            </w:pPr>
            <w:r>
              <w:rPr>
                <w:rFonts w:hint="eastAsia"/>
                <w:sz w:val="21"/>
                <w:szCs w:val="21"/>
              </w:rPr>
              <w:t>方案基本符合本项目实际情况，可操作性良好得2-3分；</w:t>
            </w:r>
          </w:p>
          <w:p w14:paraId="37F89C13">
            <w:pPr>
              <w:rPr>
                <w:rFonts w:hint="eastAsia"/>
                <w:sz w:val="21"/>
                <w:szCs w:val="21"/>
              </w:rPr>
            </w:pPr>
            <w:r>
              <w:rPr>
                <w:rFonts w:hint="eastAsia"/>
                <w:sz w:val="21"/>
                <w:szCs w:val="21"/>
              </w:rPr>
              <w:t>方案基本符合本项目实际情况，但可操作性不佳，方案一般的得得1分；</w:t>
            </w:r>
          </w:p>
          <w:p w14:paraId="62C3CB5A">
            <w:pPr>
              <w:rPr>
                <w:rFonts w:hint="eastAsia"/>
                <w:sz w:val="21"/>
                <w:szCs w:val="21"/>
              </w:rPr>
            </w:pPr>
            <w:r>
              <w:rPr>
                <w:rFonts w:hint="eastAsia"/>
                <w:sz w:val="21"/>
                <w:szCs w:val="21"/>
              </w:rPr>
              <w:t>未进行阐述，得0分。</w:t>
            </w:r>
          </w:p>
        </w:tc>
        <w:tc>
          <w:tcPr>
            <w:tcW w:w="438" w:type="pct"/>
            <w:vAlign w:val="center"/>
          </w:tcPr>
          <w:p w14:paraId="19109BA6">
            <w:pPr>
              <w:jc w:val="center"/>
              <w:rPr>
                <w:rFonts w:hint="eastAsia"/>
                <w:sz w:val="21"/>
                <w:szCs w:val="21"/>
              </w:rPr>
            </w:pPr>
            <w:r>
              <w:rPr>
                <w:sz w:val="21"/>
                <w:szCs w:val="21"/>
              </w:rPr>
              <w:t>5</w:t>
            </w:r>
          </w:p>
        </w:tc>
      </w:tr>
      <w:tr w14:paraId="3C7A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562CE711">
            <w:pPr>
              <w:jc w:val="center"/>
              <w:rPr>
                <w:rFonts w:hint="eastAsia"/>
                <w:sz w:val="21"/>
                <w:szCs w:val="21"/>
              </w:rPr>
            </w:pPr>
          </w:p>
        </w:tc>
        <w:tc>
          <w:tcPr>
            <w:tcW w:w="647" w:type="pct"/>
            <w:vMerge w:val="continue"/>
            <w:vAlign w:val="center"/>
          </w:tcPr>
          <w:p w14:paraId="3010B95A">
            <w:pPr>
              <w:rPr>
                <w:rFonts w:hint="eastAsia"/>
                <w:sz w:val="21"/>
                <w:szCs w:val="21"/>
              </w:rPr>
            </w:pPr>
          </w:p>
        </w:tc>
        <w:tc>
          <w:tcPr>
            <w:tcW w:w="611" w:type="pct"/>
            <w:vAlign w:val="center"/>
          </w:tcPr>
          <w:p w14:paraId="0F1A45DC">
            <w:pPr>
              <w:rPr>
                <w:rFonts w:hint="eastAsia"/>
                <w:sz w:val="21"/>
                <w:szCs w:val="21"/>
              </w:rPr>
            </w:pPr>
            <w:r>
              <w:rPr>
                <w:rFonts w:hint="eastAsia"/>
                <w:sz w:val="21"/>
                <w:szCs w:val="21"/>
              </w:rPr>
              <w:t>项目团队</w:t>
            </w:r>
          </w:p>
        </w:tc>
        <w:tc>
          <w:tcPr>
            <w:tcW w:w="2901" w:type="pct"/>
            <w:vAlign w:val="center"/>
          </w:tcPr>
          <w:p w14:paraId="1CF0FC1A">
            <w:pPr>
              <w:rPr>
                <w:rFonts w:hint="eastAsia"/>
                <w:sz w:val="21"/>
                <w:szCs w:val="21"/>
              </w:rPr>
            </w:pPr>
            <w:r>
              <w:rPr>
                <w:rFonts w:hint="eastAsia"/>
                <w:sz w:val="21"/>
                <w:szCs w:val="21"/>
              </w:rPr>
              <w:t>1、项目经理具备工业和信息化部和人力资源和社会保障部联合颁发的高级信息系统项目管理师证书或PMP（项目管理专业人员资格认证）证书，得2分。</w:t>
            </w:r>
          </w:p>
          <w:p w14:paraId="3D2CEB3E">
            <w:pPr>
              <w:rPr>
                <w:rFonts w:hint="eastAsia"/>
                <w:sz w:val="21"/>
                <w:szCs w:val="21"/>
              </w:rPr>
            </w:pPr>
            <w:r>
              <w:rPr>
                <w:rFonts w:hint="eastAsia"/>
                <w:sz w:val="21"/>
                <w:szCs w:val="21"/>
              </w:rPr>
              <w:t>2、项目实施人员具备CISP证书，得3分。</w:t>
            </w:r>
          </w:p>
          <w:p w14:paraId="3C02DDAB">
            <w:pPr>
              <w:rPr>
                <w:rFonts w:hint="eastAsia"/>
                <w:sz w:val="21"/>
                <w:szCs w:val="21"/>
              </w:rPr>
            </w:pPr>
            <w:r>
              <w:rPr>
                <w:rFonts w:hint="eastAsia"/>
                <w:sz w:val="21"/>
                <w:szCs w:val="21"/>
              </w:rPr>
              <w:t>注：以上人员提供有效资质复印件，人员不得重复。同时提供投标人为其缴纳的近6个月社保缴纳证明，缴纳证明中体现人员姓名。</w:t>
            </w:r>
          </w:p>
        </w:tc>
        <w:tc>
          <w:tcPr>
            <w:tcW w:w="438" w:type="pct"/>
            <w:vAlign w:val="center"/>
          </w:tcPr>
          <w:p w14:paraId="66BACF3F">
            <w:pPr>
              <w:jc w:val="center"/>
              <w:rPr>
                <w:rFonts w:hint="eastAsia"/>
                <w:sz w:val="21"/>
                <w:szCs w:val="21"/>
              </w:rPr>
            </w:pPr>
            <w:r>
              <w:rPr>
                <w:rFonts w:hint="eastAsia"/>
                <w:sz w:val="21"/>
                <w:szCs w:val="21"/>
              </w:rPr>
              <w:t>5</w:t>
            </w:r>
          </w:p>
        </w:tc>
      </w:tr>
      <w:tr w14:paraId="1EE3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03" w:type="pct"/>
            <w:vAlign w:val="center"/>
          </w:tcPr>
          <w:p w14:paraId="7CC4EA20">
            <w:pPr>
              <w:jc w:val="center"/>
              <w:rPr>
                <w:rFonts w:hint="eastAsia"/>
                <w:sz w:val="21"/>
                <w:szCs w:val="21"/>
              </w:rPr>
            </w:pPr>
            <w:r>
              <w:rPr>
                <w:rFonts w:hint="eastAsia"/>
                <w:sz w:val="21"/>
                <w:szCs w:val="21"/>
              </w:rPr>
              <w:t>7</w:t>
            </w:r>
          </w:p>
        </w:tc>
        <w:tc>
          <w:tcPr>
            <w:tcW w:w="647" w:type="pct"/>
            <w:vMerge w:val="continue"/>
            <w:vAlign w:val="center"/>
          </w:tcPr>
          <w:p w14:paraId="01A1CF97">
            <w:pPr>
              <w:rPr>
                <w:rFonts w:hint="eastAsia"/>
                <w:sz w:val="21"/>
                <w:szCs w:val="21"/>
              </w:rPr>
            </w:pPr>
          </w:p>
        </w:tc>
        <w:tc>
          <w:tcPr>
            <w:tcW w:w="611" w:type="pct"/>
            <w:vAlign w:val="center"/>
          </w:tcPr>
          <w:p w14:paraId="0F30285A">
            <w:pPr>
              <w:rPr>
                <w:rFonts w:hint="eastAsia"/>
                <w:sz w:val="21"/>
                <w:szCs w:val="21"/>
              </w:rPr>
            </w:pPr>
            <w:r>
              <w:rPr>
                <w:rFonts w:hint="eastAsia"/>
                <w:sz w:val="21"/>
                <w:szCs w:val="21"/>
              </w:rPr>
              <w:t>售后服务方案</w:t>
            </w:r>
          </w:p>
        </w:tc>
        <w:tc>
          <w:tcPr>
            <w:tcW w:w="2901" w:type="pct"/>
            <w:vAlign w:val="center"/>
          </w:tcPr>
          <w:p w14:paraId="72022D69">
            <w:pPr>
              <w:rPr>
                <w:rFonts w:hint="eastAsia"/>
                <w:sz w:val="21"/>
                <w:szCs w:val="21"/>
              </w:rPr>
            </w:pPr>
            <w:r>
              <w:rPr>
                <w:rFonts w:hint="eastAsia"/>
                <w:sz w:val="21"/>
                <w:szCs w:val="21"/>
              </w:rPr>
              <w:t>参选人需根据本项目特点提供售后服务方案，包括售后服务内容、维护响应计划、故障响应时间、维修方式等。根据应答情况全面性、针对性、合理性、可操作性等方面进行综合评分。</w:t>
            </w:r>
          </w:p>
          <w:p w14:paraId="6C69780F">
            <w:pPr>
              <w:rPr>
                <w:rFonts w:hint="eastAsia"/>
                <w:sz w:val="21"/>
                <w:szCs w:val="21"/>
              </w:rPr>
            </w:pPr>
            <w:r>
              <w:rPr>
                <w:rFonts w:hint="eastAsia"/>
                <w:sz w:val="21"/>
                <w:szCs w:val="21"/>
              </w:rPr>
              <w:t>方案非常符合本项目实际情况，可操作性很强，方案优秀得4-5分；</w:t>
            </w:r>
          </w:p>
          <w:p w14:paraId="641301BC">
            <w:pPr>
              <w:rPr>
                <w:rFonts w:hint="eastAsia"/>
                <w:sz w:val="21"/>
                <w:szCs w:val="21"/>
              </w:rPr>
            </w:pPr>
            <w:r>
              <w:rPr>
                <w:rFonts w:hint="eastAsia"/>
                <w:sz w:val="21"/>
                <w:szCs w:val="21"/>
              </w:rPr>
              <w:t>方案基本符合本项目实际情况，可操作性良好得2-3分；</w:t>
            </w:r>
          </w:p>
          <w:p w14:paraId="307E5E0F">
            <w:pPr>
              <w:rPr>
                <w:rFonts w:hint="eastAsia"/>
                <w:sz w:val="21"/>
                <w:szCs w:val="21"/>
              </w:rPr>
            </w:pPr>
            <w:r>
              <w:rPr>
                <w:rFonts w:hint="eastAsia"/>
                <w:sz w:val="21"/>
                <w:szCs w:val="21"/>
              </w:rPr>
              <w:t>方案基本符合本项目实际情况，但可操作性不佳，方案一般的得1分。</w:t>
            </w:r>
          </w:p>
          <w:p w14:paraId="3BA3D12B">
            <w:pPr>
              <w:rPr>
                <w:rFonts w:hint="eastAsia"/>
                <w:sz w:val="21"/>
                <w:szCs w:val="21"/>
              </w:rPr>
            </w:pPr>
            <w:r>
              <w:rPr>
                <w:rFonts w:hint="eastAsia"/>
                <w:sz w:val="21"/>
                <w:szCs w:val="21"/>
              </w:rPr>
              <w:t>未进行阐述，得0分。</w:t>
            </w:r>
          </w:p>
        </w:tc>
        <w:tc>
          <w:tcPr>
            <w:tcW w:w="438" w:type="pct"/>
            <w:vAlign w:val="center"/>
          </w:tcPr>
          <w:p w14:paraId="27D30CDA">
            <w:pPr>
              <w:jc w:val="center"/>
              <w:rPr>
                <w:rFonts w:hint="eastAsia"/>
                <w:sz w:val="21"/>
                <w:szCs w:val="21"/>
              </w:rPr>
            </w:pPr>
            <w:r>
              <w:rPr>
                <w:rFonts w:hint="eastAsia"/>
                <w:sz w:val="21"/>
                <w:szCs w:val="21"/>
              </w:rPr>
              <w:t>5</w:t>
            </w:r>
          </w:p>
        </w:tc>
      </w:tr>
      <w:tr w14:paraId="6DEB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03" w:type="pct"/>
            <w:vAlign w:val="center"/>
          </w:tcPr>
          <w:p w14:paraId="02D81E6F">
            <w:pPr>
              <w:jc w:val="center"/>
              <w:rPr>
                <w:rFonts w:hint="eastAsia"/>
                <w:sz w:val="21"/>
                <w:szCs w:val="21"/>
              </w:rPr>
            </w:pPr>
            <w:r>
              <w:rPr>
                <w:rFonts w:hint="eastAsia"/>
                <w:sz w:val="21"/>
                <w:szCs w:val="21"/>
              </w:rPr>
              <w:t>8</w:t>
            </w:r>
          </w:p>
        </w:tc>
        <w:tc>
          <w:tcPr>
            <w:tcW w:w="647" w:type="pct"/>
            <w:vMerge w:val="continue"/>
            <w:vAlign w:val="center"/>
          </w:tcPr>
          <w:p w14:paraId="2015FEFB">
            <w:pPr>
              <w:rPr>
                <w:rFonts w:hint="eastAsia"/>
                <w:sz w:val="21"/>
                <w:szCs w:val="21"/>
              </w:rPr>
            </w:pPr>
          </w:p>
        </w:tc>
        <w:tc>
          <w:tcPr>
            <w:tcW w:w="611" w:type="pct"/>
            <w:vAlign w:val="center"/>
          </w:tcPr>
          <w:p w14:paraId="25A8729A">
            <w:pPr>
              <w:rPr>
                <w:rFonts w:hint="eastAsia"/>
                <w:sz w:val="21"/>
                <w:szCs w:val="21"/>
              </w:rPr>
            </w:pPr>
            <w:r>
              <w:rPr>
                <w:rFonts w:hint="eastAsia"/>
                <w:sz w:val="21"/>
                <w:szCs w:val="21"/>
              </w:rPr>
              <w:t>服务响应能力</w:t>
            </w:r>
          </w:p>
        </w:tc>
        <w:tc>
          <w:tcPr>
            <w:tcW w:w="2901" w:type="pct"/>
            <w:vAlign w:val="center"/>
          </w:tcPr>
          <w:p w14:paraId="3BB8BFAE">
            <w:pPr>
              <w:rPr>
                <w:rFonts w:hint="eastAsia"/>
                <w:sz w:val="21"/>
                <w:szCs w:val="21"/>
              </w:rPr>
            </w:pPr>
            <w:r>
              <w:rPr>
                <w:rFonts w:hint="eastAsia"/>
                <w:sz w:val="21"/>
                <w:szCs w:val="21"/>
              </w:rPr>
              <w:t>根据投标人提供的服务响应能力进行评分：</w:t>
            </w:r>
          </w:p>
          <w:p w14:paraId="33F73327">
            <w:pPr>
              <w:rPr>
                <w:rFonts w:hint="eastAsia"/>
                <w:sz w:val="21"/>
                <w:szCs w:val="21"/>
              </w:rPr>
            </w:pPr>
            <w:r>
              <w:rPr>
                <w:rFonts w:hint="eastAsia"/>
                <w:sz w:val="21"/>
                <w:szCs w:val="21"/>
              </w:rPr>
              <w:t>能提供7×24小时电话紧急应急支持服务，并且承诺4小时到达现场，8小时内解决问题，得5分；</w:t>
            </w:r>
          </w:p>
          <w:p w14:paraId="0818997C">
            <w:pPr>
              <w:rPr>
                <w:rFonts w:hint="eastAsia"/>
                <w:sz w:val="21"/>
                <w:szCs w:val="21"/>
              </w:rPr>
            </w:pPr>
            <w:r>
              <w:rPr>
                <w:rFonts w:hint="eastAsia"/>
                <w:sz w:val="21"/>
                <w:szCs w:val="21"/>
              </w:rPr>
              <w:t>能提供7×24小时电话紧急应急支持服务，并且承诺4小时到达现场，12小时内解决问题，得3分；</w:t>
            </w:r>
          </w:p>
          <w:p w14:paraId="59668595">
            <w:pPr>
              <w:rPr>
                <w:rFonts w:hint="eastAsia"/>
                <w:sz w:val="21"/>
                <w:szCs w:val="21"/>
              </w:rPr>
            </w:pPr>
            <w:r>
              <w:rPr>
                <w:rFonts w:hint="eastAsia"/>
                <w:sz w:val="21"/>
                <w:szCs w:val="21"/>
              </w:rPr>
              <w:t>不能提供7×24小时电话紧急应急支持服务，或无法承诺12小时内解决问题，得1分。</w:t>
            </w:r>
          </w:p>
          <w:p w14:paraId="5C725616">
            <w:pPr>
              <w:rPr>
                <w:rFonts w:hint="eastAsia"/>
                <w:sz w:val="21"/>
                <w:szCs w:val="21"/>
              </w:rPr>
            </w:pPr>
            <w:r>
              <w:rPr>
                <w:rFonts w:hint="eastAsia"/>
                <w:sz w:val="21"/>
                <w:szCs w:val="21"/>
              </w:rPr>
              <w:t>评审依据：投标人需提供相应承诺函。未提供不得分。</w:t>
            </w:r>
          </w:p>
        </w:tc>
        <w:tc>
          <w:tcPr>
            <w:tcW w:w="438" w:type="pct"/>
            <w:vAlign w:val="center"/>
          </w:tcPr>
          <w:p w14:paraId="136A3CC4">
            <w:pPr>
              <w:jc w:val="center"/>
              <w:rPr>
                <w:rFonts w:hint="eastAsia"/>
                <w:sz w:val="21"/>
                <w:szCs w:val="21"/>
              </w:rPr>
            </w:pPr>
            <w:r>
              <w:rPr>
                <w:rFonts w:hint="eastAsia"/>
                <w:sz w:val="21"/>
                <w:szCs w:val="21"/>
              </w:rPr>
              <w:t>5</w:t>
            </w:r>
          </w:p>
        </w:tc>
      </w:tr>
      <w:tr w14:paraId="6AD8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562" w:type="pct"/>
            <w:gridSpan w:val="4"/>
            <w:vAlign w:val="center"/>
          </w:tcPr>
          <w:p w14:paraId="2E87E4B8">
            <w:pPr>
              <w:jc w:val="center"/>
              <w:rPr>
                <w:rFonts w:hint="eastAsia"/>
                <w:sz w:val="21"/>
                <w:szCs w:val="21"/>
              </w:rPr>
            </w:pPr>
            <w:r>
              <w:rPr>
                <w:sz w:val="21"/>
                <w:szCs w:val="21"/>
              </w:rPr>
              <w:t>总分</w:t>
            </w:r>
          </w:p>
        </w:tc>
        <w:tc>
          <w:tcPr>
            <w:tcW w:w="438" w:type="pct"/>
            <w:vAlign w:val="center"/>
          </w:tcPr>
          <w:p w14:paraId="2F9F4B66">
            <w:pPr>
              <w:jc w:val="center"/>
              <w:rPr>
                <w:rFonts w:hint="eastAsia"/>
                <w:sz w:val="21"/>
                <w:szCs w:val="21"/>
              </w:rPr>
            </w:pPr>
            <w:r>
              <w:rPr>
                <w:sz w:val="21"/>
                <w:szCs w:val="21"/>
              </w:rPr>
              <w:t>100</w:t>
            </w:r>
          </w:p>
        </w:tc>
      </w:tr>
      <w:bookmarkEnd w:id="1435"/>
    </w:tbl>
    <w:p w14:paraId="3CC904B2">
      <w:pPr>
        <w:rPr>
          <w:rFonts w:hint="eastAsia"/>
        </w:rPr>
      </w:pPr>
    </w:p>
    <w:p w14:paraId="06C6FA08">
      <w:pPr>
        <w:rPr>
          <w:rFonts w:hint="eastAsia"/>
        </w:rPr>
      </w:pPr>
      <w:bookmarkStart w:id="1436" w:name="_Toc535397630"/>
      <w:bookmarkStart w:id="1437" w:name="_Toc134728959"/>
      <w:bookmarkStart w:id="1438" w:name="_Toc407613204"/>
      <w:bookmarkStart w:id="1439" w:name="_Toc406595820"/>
      <w:bookmarkStart w:id="1440" w:name="_Toc13225536"/>
      <w:bookmarkStart w:id="1441" w:name="_Toc15386304"/>
      <w:bookmarkStart w:id="1442" w:name="_Toc407612835"/>
      <w:bookmarkStart w:id="1443" w:name="_Toc164420856"/>
    </w:p>
    <w:p w14:paraId="6F5A8A04">
      <w:pPr>
        <w:pStyle w:val="63"/>
        <w:numPr>
          <w:ilvl w:val="255"/>
          <w:numId w:val="0"/>
        </w:numPr>
        <w:spacing w:line="360" w:lineRule="auto"/>
        <w:outlineLvl w:val="0"/>
        <w:rPr>
          <w:rFonts w:ascii="Times New Roman" w:hAnsi="Times New Roman" w:cs="Times New Roman"/>
          <w:sz w:val="21"/>
          <w:szCs w:val="21"/>
        </w:rPr>
        <w:sectPr>
          <w:pgSz w:w="11906" w:h="16838"/>
          <w:pgMar w:top="1440" w:right="1800" w:bottom="1440" w:left="1800" w:header="851" w:footer="992" w:gutter="0"/>
          <w:cols w:space="720" w:num="1"/>
          <w:docGrid w:type="lines" w:linePitch="312" w:charSpace="0"/>
        </w:sectPr>
      </w:pPr>
    </w:p>
    <w:p w14:paraId="4C6EEF65">
      <w:pPr>
        <w:pStyle w:val="63"/>
        <w:numPr>
          <w:ilvl w:val="1"/>
          <w:numId w:val="8"/>
        </w:numPr>
        <w:spacing w:line="360" w:lineRule="auto"/>
        <w:ind w:firstLineChars="0"/>
        <w:outlineLvl w:val="0"/>
        <w:rPr>
          <w:rFonts w:ascii="Times New Roman" w:hAnsi="Times New Roman" w:cs="Times New Roman"/>
          <w:sz w:val="21"/>
          <w:szCs w:val="21"/>
        </w:rPr>
      </w:pPr>
      <w:bookmarkStart w:id="1444" w:name="_Toc719"/>
      <w:bookmarkStart w:id="1445" w:name="_Toc7458"/>
      <w:r>
        <w:rPr>
          <w:rFonts w:ascii="Times New Roman" w:hAnsi="Times New Roman" w:cs="Times New Roman"/>
          <w:sz w:val="21"/>
          <w:szCs w:val="21"/>
        </w:rPr>
        <w:t>反对不正当竞争。</w:t>
      </w:r>
      <w:bookmarkEnd w:id="1436"/>
      <w:bookmarkEnd w:id="1437"/>
      <w:bookmarkEnd w:id="1438"/>
      <w:bookmarkEnd w:id="1439"/>
      <w:bookmarkEnd w:id="1440"/>
      <w:bookmarkEnd w:id="1441"/>
      <w:bookmarkEnd w:id="1442"/>
      <w:bookmarkEnd w:id="1443"/>
      <w:bookmarkEnd w:id="1444"/>
      <w:bookmarkEnd w:id="1445"/>
    </w:p>
    <w:p w14:paraId="06C2436D">
      <w:pPr>
        <w:pStyle w:val="63"/>
        <w:numPr>
          <w:ilvl w:val="0"/>
          <w:numId w:val="8"/>
        </w:numPr>
        <w:spacing w:line="360" w:lineRule="auto"/>
        <w:ind w:firstLineChars="0"/>
        <w:outlineLvl w:val="0"/>
        <w:rPr>
          <w:rFonts w:ascii="Times New Roman" w:hAnsi="Times New Roman" w:cs="Times New Roman"/>
          <w:b/>
          <w:bCs/>
          <w:sz w:val="21"/>
          <w:szCs w:val="21"/>
        </w:rPr>
      </w:pPr>
      <w:bookmarkStart w:id="1446" w:name="_Toc407613205"/>
      <w:bookmarkStart w:id="1447" w:name="_Toc407612836"/>
      <w:bookmarkStart w:id="1448" w:name="_Toc535397631"/>
      <w:bookmarkStart w:id="1449" w:name="_Toc164420857"/>
      <w:bookmarkStart w:id="1450" w:name="_Toc134728960"/>
      <w:bookmarkStart w:id="1451" w:name="_Toc9094"/>
      <w:bookmarkStart w:id="1452" w:name="_Toc13225537"/>
      <w:bookmarkStart w:id="1453" w:name="_Toc15386305"/>
      <w:bookmarkStart w:id="1454" w:name="_Toc406595821"/>
      <w:bookmarkStart w:id="1455" w:name="_Toc17157"/>
      <w:r>
        <w:rPr>
          <w:rFonts w:ascii="Times New Roman" w:hAnsi="Times New Roman" w:cs="Times New Roman"/>
          <w:b/>
          <w:bCs/>
          <w:sz w:val="21"/>
          <w:szCs w:val="21"/>
        </w:rPr>
        <w:t>评标过程保密</w:t>
      </w:r>
      <w:bookmarkEnd w:id="1446"/>
      <w:bookmarkEnd w:id="1447"/>
      <w:bookmarkEnd w:id="1448"/>
      <w:bookmarkEnd w:id="1449"/>
      <w:bookmarkEnd w:id="1450"/>
      <w:bookmarkEnd w:id="1451"/>
      <w:bookmarkEnd w:id="1452"/>
      <w:bookmarkEnd w:id="1453"/>
      <w:bookmarkEnd w:id="1454"/>
      <w:bookmarkEnd w:id="1455"/>
    </w:p>
    <w:p w14:paraId="5EAFF1DC">
      <w:pPr>
        <w:pStyle w:val="63"/>
        <w:numPr>
          <w:ilvl w:val="1"/>
          <w:numId w:val="8"/>
        </w:numPr>
        <w:spacing w:line="360" w:lineRule="auto"/>
        <w:ind w:firstLineChars="0"/>
        <w:outlineLvl w:val="0"/>
        <w:rPr>
          <w:rFonts w:ascii="Times New Roman" w:hAnsi="Times New Roman" w:cs="Times New Roman"/>
          <w:sz w:val="21"/>
          <w:szCs w:val="21"/>
        </w:rPr>
      </w:pPr>
      <w:bookmarkStart w:id="1456" w:name="_Toc28810"/>
      <w:bookmarkStart w:id="1457" w:name="_Toc15386306"/>
      <w:bookmarkStart w:id="1458" w:name="_Toc406595822"/>
      <w:bookmarkStart w:id="1459" w:name="_Toc134728961"/>
      <w:bookmarkStart w:id="1460" w:name="_Toc18567"/>
      <w:bookmarkStart w:id="1461" w:name="_Toc535397632"/>
      <w:bookmarkStart w:id="1462" w:name="_Toc164420858"/>
      <w:bookmarkStart w:id="1463" w:name="_Toc407613206"/>
      <w:bookmarkStart w:id="1464" w:name="_Toc407612837"/>
      <w:bookmarkStart w:id="1465" w:name="_Toc13225538"/>
      <w:r>
        <w:rPr>
          <w:rFonts w:ascii="Times New Roman" w:hAnsi="Times New Roman" w:cs="Times New Roman"/>
          <w:bCs/>
          <w:sz w:val="21"/>
          <w:szCs w:val="21"/>
        </w:rPr>
        <w:t>有关投标人的任何情况不得透露给任何其他投标人。</w:t>
      </w:r>
      <w:bookmarkEnd w:id="1456"/>
      <w:bookmarkEnd w:id="1457"/>
      <w:bookmarkEnd w:id="1458"/>
      <w:bookmarkEnd w:id="1459"/>
      <w:bookmarkEnd w:id="1460"/>
      <w:bookmarkEnd w:id="1461"/>
      <w:bookmarkEnd w:id="1462"/>
      <w:bookmarkEnd w:id="1463"/>
      <w:bookmarkEnd w:id="1464"/>
      <w:bookmarkEnd w:id="1465"/>
    </w:p>
    <w:p w14:paraId="1F4A2081">
      <w:pPr>
        <w:pStyle w:val="63"/>
        <w:numPr>
          <w:ilvl w:val="1"/>
          <w:numId w:val="8"/>
        </w:numPr>
        <w:spacing w:line="360" w:lineRule="auto"/>
        <w:ind w:firstLineChars="0"/>
        <w:outlineLvl w:val="0"/>
        <w:rPr>
          <w:rFonts w:ascii="Times New Roman" w:hAnsi="Times New Roman" w:cs="Times New Roman"/>
          <w:sz w:val="21"/>
          <w:szCs w:val="21"/>
        </w:rPr>
      </w:pPr>
      <w:bookmarkStart w:id="1466" w:name="_Toc134728962"/>
      <w:bookmarkStart w:id="1467" w:name="_Toc15386307"/>
      <w:bookmarkStart w:id="1468" w:name="_Toc535397633"/>
      <w:bookmarkStart w:id="1469" w:name="_Toc30062"/>
      <w:bookmarkStart w:id="1470" w:name="_Toc406595823"/>
      <w:bookmarkStart w:id="1471" w:name="_Toc407612838"/>
      <w:bookmarkStart w:id="1472" w:name="_Toc9846"/>
      <w:bookmarkStart w:id="1473" w:name="_Toc13225539"/>
      <w:bookmarkStart w:id="1474" w:name="_Toc407613207"/>
      <w:bookmarkStart w:id="1475" w:name="_Toc164420859"/>
      <w:r>
        <w:rPr>
          <w:rFonts w:ascii="Times New Roman" w:hAnsi="Times New Roman" w:cs="Times New Roman"/>
          <w:bCs/>
          <w:sz w:val="21"/>
          <w:szCs w:val="21"/>
        </w:rPr>
        <w:t>有关投标文件的审查、澄清、评估、比较以及有关授予合同的意向的一切情况都不得透露给任何投标人和其他无关人员。</w:t>
      </w:r>
      <w:bookmarkEnd w:id="1466"/>
      <w:bookmarkEnd w:id="1467"/>
      <w:bookmarkEnd w:id="1468"/>
      <w:bookmarkEnd w:id="1469"/>
      <w:bookmarkEnd w:id="1470"/>
      <w:bookmarkEnd w:id="1471"/>
      <w:bookmarkEnd w:id="1472"/>
      <w:bookmarkEnd w:id="1473"/>
      <w:bookmarkEnd w:id="1474"/>
      <w:bookmarkEnd w:id="1475"/>
    </w:p>
    <w:p w14:paraId="3FCB93AC">
      <w:pPr>
        <w:pStyle w:val="63"/>
        <w:numPr>
          <w:ilvl w:val="0"/>
          <w:numId w:val="8"/>
        </w:numPr>
        <w:spacing w:line="360" w:lineRule="auto"/>
        <w:ind w:firstLineChars="0"/>
        <w:outlineLvl w:val="0"/>
        <w:rPr>
          <w:rFonts w:ascii="Times New Roman" w:hAnsi="Times New Roman" w:cs="Times New Roman"/>
          <w:b/>
          <w:bCs/>
          <w:sz w:val="21"/>
          <w:szCs w:val="21"/>
        </w:rPr>
      </w:pPr>
      <w:bookmarkStart w:id="1476" w:name="_Toc407612839"/>
      <w:bookmarkStart w:id="1477" w:name="_Toc164420860"/>
      <w:bookmarkStart w:id="1478" w:name="_Toc406595824"/>
      <w:bookmarkStart w:id="1479" w:name="_Toc3491"/>
      <w:bookmarkStart w:id="1480" w:name="_Toc134728963"/>
      <w:bookmarkStart w:id="1481" w:name="_Toc15386308"/>
      <w:bookmarkStart w:id="1482" w:name="_Toc13225540"/>
      <w:bookmarkStart w:id="1483" w:name="_Toc28281"/>
      <w:bookmarkStart w:id="1484" w:name="_Toc535397634"/>
      <w:bookmarkStart w:id="1485" w:name="_Toc407613208"/>
      <w:r>
        <w:rPr>
          <w:rFonts w:ascii="Times New Roman" w:hAnsi="Times New Roman" w:cs="Times New Roman"/>
          <w:b/>
          <w:bCs/>
          <w:sz w:val="21"/>
          <w:szCs w:val="21"/>
        </w:rPr>
        <w:t>与招标人/招标机构的接触</w:t>
      </w:r>
      <w:bookmarkEnd w:id="1476"/>
      <w:bookmarkEnd w:id="1477"/>
      <w:bookmarkEnd w:id="1478"/>
      <w:bookmarkEnd w:id="1479"/>
      <w:bookmarkEnd w:id="1480"/>
      <w:bookmarkEnd w:id="1481"/>
      <w:bookmarkEnd w:id="1482"/>
      <w:bookmarkEnd w:id="1483"/>
      <w:bookmarkEnd w:id="1484"/>
      <w:bookmarkEnd w:id="1485"/>
    </w:p>
    <w:p w14:paraId="1433081C">
      <w:pPr>
        <w:pStyle w:val="63"/>
        <w:numPr>
          <w:ilvl w:val="1"/>
          <w:numId w:val="8"/>
        </w:numPr>
        <w:spacing w:line="360" w:lineRule="auto"/>
        <w:ind w:firstLineChars="0"/>
        <w:outlineLvl w:val="0"/>
        <w:rPr>
          <w:rFonts w:ascii="Times New Roman" w:hAnsi="Times New Roman" w:cs="Times New Roman"/>
          <w:sz w:val="21"/>
          <w:szCs w:val="21"/>
        </w:rPr>
      </w:pPr>
      <w:bookmarkStart w:id="1486" w:name="_Toc13225541"/>
      <w:bookmarkStart w:id="1487" w:name="_Toc22284"/>
      <w:bookmarkStart w:id="1488" w:name="_Toc407612840"/>
      <w:bookmarkStart w:id="1489" w:name="_Toc407613209"/>
      <w:bookmarkStart w:id="1490" w:name="_Toc406595825"/>
      <w:bookmarkStart w:id="1491" w:name="_Toc535397635"/>
      <w:bookmarkStart w:id="1492" w:name="_Toc134728964"/>
      <w:bookmarkStart w:id="1493" w:name="_Toc15386309"/>
      <w:bookmarkStart w:id="1494" w:name="_Toc164420861"/>
      <w:bookmarkStart w:id="1495" w:name="_Toc8881"/>
      <w:r>
        <w:rPr>
          <w:rFonts w:ascii="Times New Roman" w:hAnsi="Times New Roman" w:cs="Times New Roman"/>
          <w:bCs/>
          <w:sz w:val="21"/>
          <w:szCs w:val="21"/>
        </w:rPr>
        <w:t>从开标之日起至授予合同之日止，除非招标人/招标代理机构/评标委员会有要求，投标人不得就与其投标有关的事项与招标人/招标代理机构/评标委员会接触。</w:t>
      </w:r>
      <w:bookmarkEnd w:id="1486"/>
      <w:bookmarkEnd w:id="1487"/>
      <w:bookmarkEnd w:id="1488"/>
      <w:bookmarkEnd w:id="1489"/>
      <w:bookmarkEnd w:id="1490"/>
      <w:bookmarkEnd w:id="1491"/>
      <w:bookmarkEnd w:id="1492"/>
      <w:bookmarkEnd w:id="1493"/>
      <w:bookmarkEnd w:id="1494"/>
      <w:bookmarkEnd w:id="1495"/>
    </w:p>
    <w:p w14:paraId="4808DDAC">
      <w:pPr>
        <w:pStyle w:val="63"/>
        <w:numPr>
          <w:ilvl w:val="1"/>
          <w:numId w:val="8"/>
        </w:numPr>
        <w:spacing w:line="360" w:lineRule="auto"/>
        <w:ind w:firstLineChars="0"/>
        <w:outlineLvl w:val="0"/>
        <w:rPr>
          <w:rFonts w:ascii="Times New Roman" w:hAnsi="Times New Roman" w:cs="Times New Roman"/>
          <w:sz w:val="21"/>
          <w:szCs w:val="21"/>
        </w:rPr>
      </w:pPr>
      <w:bookmarkStart w:id="1496" w:name="_Toc407613210"/>
      <w:bookmarkStart w:id="1497" w:name="_Toc8624"/>
      <w:bookmarkStart w:id="1498" w:name="_Toc23346"/>
      <w:bookmarkStart w:id="1499" w:name="_Toc134728965"/>
      <w:bookmarkStart w:id="1500" w:name="_Toc406595826"/>
      <w:bookmarkStart w:id="1501" w:name="_Toc13225542"/>
      <w:bookmarkStart w:id="1502" w:name="_Toc15386310"/>
      <w:bookmarkStart w:id="1503" w:name="_Toc407612841"/>
      <w:bookmarkStart w:id="1504" w:name="_Toc164420862"/>
      <w:bookmarkStart w:id="1505" w:name="_Toc535397636"/>
      <w:r>
        <w:rPr>
          <w:rFonts w:ascii="Times New Roman" w:hAnsi="Times New Roman" w:cs="Times New Roman"/>
          <w:bCs/>
          <w:sz w:val="21"/>
          <w:szCs w:val="21"/>
        </w:rPr>
        <w:t>投标人不得以任何方式干扰招标和评标活动，否则其投标无效，并没收其投标保证金。</w:t>
      </w:r>
      <w:bookmarkEnd w:id="1496"/>
      <w:bookmarkEnd w:id="1497"/>
      <w:bookmarkEnd w:id="1498"/>
      <w:bookmarkEnd w:id="1499"/>
      <w:bookmarkEnd w:id="1500"/>
      <w:bookmarkEnd w:id="1501"/>
      <w:bookmarkEnd w:id="1502"/>
      <w:bookmarkEnd w:id="1503"/>
      <w:bookmarkEnd w:id="1504"/>
      <w:bookmarkEnd w:id="1505"/>
    </w:p>
    <w:p w14:paraId="53497D47">
      <w:pPr>
        <w:spacing w:line="360" w:lineRule="auto"/>
        <w:ind w:firstLine="420" w:firstLineChars="200"/>
        <w:rPr>
          <w:rFonts w:ascii="Times New Roman" w:hAnsi="Times New Roman" w:cs="Times New Roman"/>
          <w:sz w:val="21"/>
          <w:szCs w:val="21"/>
        </w:rPr>
      </w:pPr>
    </w:p>
    <w:p w14:paraId="7C9156DB">
      <w:pPr>
        <w:pStyle w:val="63"/>
        <w:numPr>
          <w:ilvl w:val="0"/>
          <w:numId w:val="7"/>
        </w:numPr>
        <w:spacing w:line="360" w:lineRule="auto"/>
        <w:ind w:left="0" w:firstLine="0" w:firstLineChars="0"/>
        <w:jc w:val="center"/>
        <w:outlineLvl w:val="0"/>
        <w:rPr>
          <w:rFonts w:ascii="Times New Roman" w:hAnsi="Times New Roman" w:cs="Times New Roman"/>
          <w:b/>
        </w:rPr>
      </w:pPr>
      <w:bookmarkStart w:id="1506" w:name="_Toc8734"/>
      <w:bookmarkStart w:id="1507" w:name="_Toc438"/>
      <w:r>
        <w:rPr>
          <w:rFonts w:ascii="Times New Roman" w:hAnsi="Times New Roman" w:cs="Times New Roman"/>
          <w:b/>
        </w:rPr>
        <w:t>定标</w:t>
      </w:r>
      <w:bookmarkEnd w:id="1506"/>
      <w:bookmarkEnd w:id="1507"/>
    </w:p>
    <w:p w14:paraId="1F8BBEF1">
      <w:pPr>
        <w:pStyle w:val="63"/>
        <w:numPr>
          <w:ilvl w:val="0"/>
          <w:numId w:val="8"/>
        </w:numPr>
        <w:spacing w:line="360" w:lineRule="auto"/>
        <w:ind w:firstLineChars="0"/>
        <w:outlineLvl w:val="0"/>
        <w:rPr>
          <w:rFonts w:ascii="Times New Roman" w:hAnsi="Times New Roman" w:cs="Times New Roman"/>
          <w:b/>
          <w:bCs/>
          <w:sz w:val="21"/>
          <w:szCs w:val="21"/>
        </w:rPr>
      </w:pPr>
      <w:bookmarkStart w:id="1508" w:name="_Toc15386312"/>
      <w:bookmarkStart w:id="1509" w:name="_Toc407612843"/>
      <w:bookmarkStart w:id="1510" w:name="_Toc535397638"/>
      <w:bookmarkStart w:id="1511" w:name="_Toc164420864"/>
      <w:bookmarkStart w:id="1512" w:name="_Toc407613212"/>
      <w:bookmarkStart w:id="1513" w:name="_Toc13225544"/>
      <w:bookmarkStart w:id="1514" w:name="_Toc406595828"/>
      <w:bookmarkStart w:id="1515" w:name="_Toc8131"/>
      <w:bookmarkStart w:id="1516" w:name="_Toc30582"/>
      <w:bookmarkStart w:id="1517" w:name="_Toc134728967"/>
      <w:r>
        <w:rPr>
          <w:rFonts w:ascii="Times New Roman" w:hAnsi="Times New Roman" w:cs="Times New Roman"/>
          <w:b/>
          <w:bCs/>
          <w:sz w:val="21"/>
          <w:szCs w:val="21"/>
        </w:rPr>
        <w:t>定标准则</w:t>
      </w:r>
      <w:bookmarkEnd w:id="1508"/>
      <w:bookmarkEnd w:id="1509"/>
      <w:bookmarkEnd w:id="1510"/>
      <w:bookmarkEnd w:id="1511"/>
      <w:bookmarkEnd w:id="1512"/>
      <w:bookmarkEnd w:id="1513"/>
      <w:bookmarkEnd w:id="1514"/>
      <w:bookmarkEnd w:id="1515"/>
      <w:bookmarkEnd w:id="1516"/>
      <w:bookmarkEnd w:id="1517"/>
    </w:p>
    <w:p w14:paraId="5C52EE77">
      <w:pPr>
        <w:pStyle w:val="63"/>
        <w:numPr>
          <w:ilvl w:val="1"/>
          <w:numId w:val="8"/>
        </w:numPr>
        <w:spacing w:line="360" w:lineRule="auto"/>
        <w:ind w:firstLineChars="0"/>
        <w:outlineLvl w:val="0"/>
        <w:rPr>
          <w:rFonts w:ascii="Times New Roman" w:hAnsi="Times New Roman" w:cs="Times New Roman"/>
          <w:bCs/>
          <w:sz w:val="21"/>
          <w:szCs w:val="21"/>
        </w:rPr>
      </w:pPr>
      <w:bookmarkStart w:id="1518" w:name="_Toc164420865"/>
      <w:bookmarkStart w:id="1519" w:name="_Toc134728968"/>
      <w:bookmarkStart w:id="1520" w:name="_Toc407612844"/>
      <w:bookmarkStart w:id="1521" w:name="_Toc535397639"/>
      <w:bookmarkStart w:id="1522" w:name="_Toc407613213"/>
      <w:bookmarkStart w:id="1523" w:name="_Toc16738"/>
      <w:bookmarkStart w:id="1524" w:name="_Toc19578"/>
      <w:bookmarkStart w:id="1525" w:name="_Toc15386313"/>
      <w:bookmarkStart w:id="1526" w:name="_Toc406595829"/>
      <w:bookmarkStart w:id="1527" w:name="_Toc13225545"/>
      <w:r>
        <w:rPr>
          <w:rFonts w:ascii="Times New Roman" w:hAnsi="Times New Roman" w:cs="Times New Roman"/>
          <w:bCs/>
          <w:sz w:val="21"/>
          <w:szCs w:val="21"/>
        </w:rPr>
        <w:t>招标人将把合同授予各包被确定为实质上响应招标文件的要求并有履行合同能力和意愿的综合得分排名前</w:t>
      </w:r>
      <w:r>
        <w:rPr>
          <w:rFonts w:hint="eastAsia" w:ascii="Times New Roman" w:hAnsi="Times New Roman" w:cs="Times New Roman"/>
          <w:bCs/>
          <w:sz w:val="21"/>
          <w:szCs w:val="21"/>
        </w:rPr>
        <w:t>三</w:t>
      </w:r>
      <w:r>
        <w:rPr>
          <w:rFonts w:ascii="Times New Roman" w:hAnsi="Times New Roman" w:cs="Times New Roman"/>
          <w:bCs/>
          <w:sz w:val="21"/>
          <w:szCs w:val="21"/>
        </w:rPr>
        <w:t>的投标人。</w:t>
      </w:r>
      <w:bookmarkEnd w:id="1518"/>
      <w:bookmarkEnd w:id="1519"/>
      <w:bookmarkEnd w:id="1520"/>
      <w:bookmarkEnd w:id="1521"/>
      <w:bookmarkEnd w:id="1522"/>
      <w:bookmarkEnd w:id="1523"/>
      <w:bookmarkEnd w:id="1524"/>
      <w:bookmarkEnd w:id="1525"/>
      <w:bookmarkEnd w:id="1526"/>
      <w:bookmarkEnd w:id="1527"/>
    </w:p>
    <w:p w14:paraId="757EBEB8">
      <w:pPr>
        <w:pStyle w:val="63"/>
        <w:numPr>
          <w:ilvl w:val="1"/>
          <w:numId w:val="8"/>
        </w:numPr>
        <w:spacing w:line="360" w:lineRule="auto"/>
        <w:ind w:firstLineChars="0"/>
        <w:outlineLvl w:val="0"/>
        <w:rPr>
          <w:rFonts w:ascii="Times New Roman" w:hAnsi="Times New Roman" w:cs="Times New Roman"/>
          <w:bCs/>
          <w:sz w:val="21"/>
          <w:szCs w:val="21"/>
        </w:rPr>
      </w:pPr>
      <w:bookmarkStart w:id="1528" w:name="_Toc13225546"/>
      <w:bookmarkStart w:id="1529" w:name="_Toc407613214"/>
      <w:bookmarkStart w:id="1530" w:name="_Toc21028"/>
      <w:bookmarkStart w:id="1531" w:name="_Toc891"/>
      <w:bookmarkStart w:id="1532" w:name="_Toc164420866"/>
      <w:bookmarkStart w:id="1533" w:name="_Toc535397640"/>
      <w:bookmarkStart w:id="1534" w:name="_Toc134728969"/>
      <w:bookmarkStart w:id="1535" w:name="_Toc406595830"/>
      <w:bookmarkStart w:id="1536" w:name="_Toc15386314"/>
      <w:bookmarkStart w:id="1537" w:name="_Toc407612845"/>
      <w:r>
        <w:rPr>
          <w:rFonts w:ascii="Times New Roman" w:hAnsi="Times New Roman" w:cs="Times New Roman"/>
          <w:bCs/>
          <w:sz w:val="21"/>
          <w:szCs w:val="21"/>
        </w:rPr>
        <w:t>最低投标报价不是被授予合同的唯一条件。</w:t>
      </w:r>
      <w:bookmarkEnd w:id="1528"/>
      <w:bookmarkEnd w:id="1529"/>
      <w:bookmarkEnd w:id="1530"/>
      <w:bookmarkEnd w:id="1531"/>
      <w:bookmarkEnd w:id="1532"/>
      <w:bookmarkEnd w:id="1533"/>
      <w:bookmarkEnd w:id="1534"/>
      <w:bookmarkEnd w:id="1535"/>
      <w:bookmarkEnd w:id="1536"/>
      <w:bookmarkEnd w:id="1537"/>
    </w:p>
    <w:p w14:paraId="6B687EA5">
      <w:pPr>
        <w:pStyle w:val="63"/>
        <w:numPr>
          <w:ilvl w:val="1"/>
          <w:numId w:val="8"/>
        </w:numPr>
        <w:spacing w:line="360" w:lineRule="auto"/>
        <w:ind w:firstLineChars="0"/>
        <w:outlineLvl w:val="0"/>
        <w:rPr>
          <w:rFonts w:ascii="Times New Roman" w:hAnsi="Times New Roman" w:cs="Times New Roman"/>
          <w:bCs/>
          <w:sz w:val="21"/>
          <w:szCs w:val="21"/>
        </w:rPr>
      </w:pPr>
      <w:bookmarkStart w:id="1538" w:name="_Toc17453"/>
      <w:bookmarkStart w:id="1539" w:name="_Toc535397641"/>
      <w:bookmarkStart w:id="1540" w:name="_Toc164420867"/>
      <w:bookmarkStart w:id="1541" w:name="_Toc134728970"/>
      <w:bookmarkStart w:id="1542" w:name="_Toc15386315"/>
      <w:bookmarkStart w:id="1543" w:name="_Toc407613215"/>
      <w:bookmarkStart w:id="1544" w:name="_Toc406595831"/>
      <w:bookmarkStart w:id="1545" w:name="_Toc13225547"/>
      <w:bookmarkStart w:id="1546" w:name="_Toc23743"/>
      <w:bookmarkStart w:id="1547" w:name="_Toc407612846"/>
      <w:r>
        <w:rPr>
          <w:rFonts w:ascii="Times New Roman" w:hAnsi="Times New Roman" w:cs="Times New Roman"/>
          <w:sz w:val="21"/>
          <w:szCs w:val="21"/>
        </w:rPr>
        <w:t>排名</w:t>
      </w:r>
      <w:r>
        <w:rPr>
          <w:rFonts w:hint="eastAsia" w:ascii="Times New Roman" w:hAnsi="Times New Roman" w:cs="Times New Roman"/>
          <w:sz w:val="21"/>
          <w:szCs w:val="21"/>
        </w:rPr>
        <w:t>第一</w:t>
      </w:r>
      <w:r>
        <w:rPr>
          <w:rFonts w:ascii="Times New Roman" w:hAnsi="Times New Roman" w:cs="Times New Roman"/>
          <w:sz w:val="21"/>
          <w:szCs w:val="21"/>
        </w:rPr>
        <w:t>的</w:t>
      </w:r>
      <w:r>
        <w:rPr>
          <w:rFonts w:hint="eastAsia" w:ascii="Times New Roman" w:hAnsi="Times New Roman" w:cs="Times New Roman"/>
          <w:sz w:val="21"/>
          <w:szCs w:val="21"/>
        </w:rPr>
        <w:t>中标候选人</w:t>
      </w:r>
      <w:r>
        <w:rPr>
          <w:rFonts w:ascii="Times New Roman" w:hAnsi="Times New Roman" w:cs="Times New Roman"/>
          <w:sz w:val="21"/>
          <w:szCs w:val="21"/>
        </w:rPr>
        <w:t>放弃中标、因不可抗力不能履行合同、不按照招标文件要求提交履约保证金，或者被查实存在影响中标结果的违法行为等情形，不符合中标条件的，招标人可以按照该包评标委员会打分排序依次确定其他</w:t>
      </w:r>
      <w:r>
        <w:rPr>
          <w:rFonts w:hint="eastAsia" w:ascii="Times New Roman" w:hAnsi="Times New Roman" w:cs="Times New Roman"/>
          <w:sz w:val="21"/>
          <w:szCs w:val="21"/>
        </w:rPr>
        <w:t>中标候选人</w:t>
      </w:r>
      <w:r>
        <w:rPr>
          <w:rFonts w:ascii="Times New Roman" w:hAnsi="Times New Roman" w:cs="Times New Roman"/>
          <w:sz w:val="21"/>
          <w:szCs w:val="21"/>
        </w:rPr>
        <w:t>为</w:t>
      </w:r>
      <w:r>
        <w:rPr>
          <w:rFonts w:hint="eastAsia" w:ascii="Times New Roman" w:hAnsi="Times New Roman" w:cs="Times New Roman"/>
          <w:sz w:val="21"/>
          <w:szCs w:val="21"/>
        </w:rPr>
        <w:t>中标人</w:t>
      </w:r>
      <w:r>
        <w:rPr>
          <w:rFonts w:ascii="Times New Roman" w:hAnsi="Times New Roman" w:cs="Times New Roman"/>
          <w:sz w:val="21"/>
          <w:szCs w:val="21"/>
        </w:rPr>
        <w:t>，也可以重新招标。</w:t>
      </w:r>
      <w:bookmarkEnd w:id="1538"/>
      <w:bookmarkEnd w:id="1539"/>
      <w:bookmarkEnd w:id="1540"/>
      <w:bookmarkEnd w:id="1541"/>
      <w:bookmarkEnd w:id="1542"/>
      <w:bookmarkEnd w:id="1543"/>
      <w:bookmarkEnd w:id="1544"/>
      <w:bookmarkEnd w:id="1545"/>
      <w:bookmarkEnd w:id="1546"/>
      <w:bookmarkEnd w:id="1547"/>
    </w:p>
    <w:p w14:paraId="511EA206">
      <w:pPr>
        <w:pStyle w:val="63"/>
        <w:numPr>
          <w:ilvl w:val="0"/>
          <w:numId w:val="8"/>
        </w:numPr>
        <w:spacing w:line="360" w:lineRule="auto"/>
        <w:ind w:firstLineChars="0"/>
        <w:outlineLvl w:val="0"/>
        <w:rPr>
          <w:rFonts w:ascii="Times New Roman" w:hAnsi="Times New Roman" w:cs="Times New Roman"/>
          <w:b/>
          <w:bCs/>
          <w:sz w:val="21"/>
          <w:szCs w:val="21"/>
        </w:rPr>
      </w:pPr>
      <w:bookmarkStart w:id="1548" w:name="_Toc407613216"/>
      <w:bookmarkStart w:id="1549" w:name="_Toc15386316"/>
      <w:bookmarkStart w:id="1550" w:name="_Toc406595832"/>
      <w:bookmarkStart w:id="1551" w:name="_Toc535397642"/>
      <w:bookmarkStart w:id="1552" w:name="_Toc164420868"/>
      <w:bookmarkStart w:id="1553" w:name="_Toc407612847"/>
      <w:bookmarkStart w:id="1554" w:name="_Toc12686"/>
      <w:bookmarkStart w:id="1555" w:name="_Toc134728971"/>
      <w:bookmarkStart w:id="1556" w:name="_Toc13515"/>
      <w:bookmarkStart w:id="1557" w:name="_Toc13225548"/>
      <w:r>
        <w:rPr>
          <w:rFonts w:ascii="Times New Roman" w:hAnsi="Times New Roman" w:cs="Times New Roman"/>
          <w:b/>
          <w:bCs/>
          <w:sz w:val="21"/>
          <w:szCs w:val="21"/>
        </w:rPr>
        <w:t>资格确认</w:t>
      </w:r>
      <w:bookmarkEnd w:id="1548"/>
      <w:bookmarkEnd w:id="1549"/>
      <w:bookmarkEnd w:id="1550"/>
      <w:bookmarkEnd w:id="1551"/>
      <w:bookmarkEnd w:id="1552"/>
      <w:bookmarkEnd w:id="1553"/>
      <w:bookmarkEnd w:id="1554"/>
      <w:bookmarkEnd w:id="1555"/>
      <w:bookmarkEnd w:id="1556"/>
      <w:bookmarkEnd w:id="1557"/>
    </w:p>
    <w:p w14:paraId="278F1333">
      <w:pPr>
        <w:pStyle w:val="63"/>
        <w:numPr>
          <w:ilvl w:val="1"/>
          <w:numId w:val="8"/>
        </w:numPr>
        <w:spacing w:line="360" w:lineRule="auto"/>
        <w:ind w:firstLineChars="0"/>
        <w:outlineLvl w:val="0"/>
        <w:rPr>
          <w:rFonts w:ascii="Times New Roman" w:hAnsi="Times New Roman" w:cs="Times New Roman"/>
          <w:bCs/>
          <w:sz w:val="21"/>
          <w:szCs w:val="21"/>
        </w:rPr>
      </w:pPr>
      <w:bookmarkStart w:id="1558" w:name="_Toc407613217"/>
      <w:bookmarkStart w:id="1559" w:name="_Toc164420869"/>
      <w:bookmarkStart w:id="1560" w:name="_Toc535397643"/>
      <w:bookmarkStart w:id="1561" w:name="_Toc134728972"/>
      <w:bookmarkStart w:id="1562" w:name="_Toc19880"/>
      <w:bookmarkStart w:id="1563" w:name="_Toc9487"/>
      <w:bookmarkStart w:id="1564" w:name="_Toc406595833"/>
      <w:bookmarkStart w:id="1565" w:name="_Toc407612848"/>
      <w:bookmarkStart w:id="1566" w:name="_Toc15386317"/>
      <w:bookmarkStart w:id="1567" w:name="_Toc13225549"/>
      <w:r>
        <w:rPr>
          <w:rFonts w:hint="eastAsia" w:ascii="Times New Roman" w:hAnsi="Times New Roman" w:cs="Times New Roman"/>
          <w:sz w:val="21"/>
          <w:szCs w:val="21"/>
        </w:rPr>
        <w:t>中标候选人</w:t>
      </w:r>
      <w:r>
        <w:rPr>
          <w:rFonts w:ascii="Times New Roman" w:hAnsi="Times New Roman" w:cs="Times New Roman"/>
          <w:sz w:val="21"/>
          <w:szCs w:val="21"/>
        </w:rPr>
        <w:t>的经营、财务状况发生较大变化或者存在违法行为，招标人认为可能影响其履约能力的，应当在发出中标通知书前由原评标委员会按照招标文件规定的标准和方法审查确认。</w:t>
      </w:r>
      <w:bookmarkEnd w:id="1558"/>
      <w:bookmarkEnd w:id="1559"/>
      <w:bookmarkEnd w:id="1560"/>
      <w:bookmarkEnd w:id="1561"/>
      <w:bookmarkEnd w:id="1562"/>
      <w:bookmarkEnd w:id="1563"/>
      <w:bookmarkEnd w:id="1564"/>
      <w:bookmarkEnd w:id="1565"/>
      <w:bookmarkEnd w:id="1566"/>
      <w:bookmarkEnd w:id="1567"/>
    </w:p>
    <w:p w14:paraId="6C340A5E">
      <w:pPr>
        <w:pStyle w:val="63"/>
        <w:numPr>
          <w:ilvl w:val="0"/>
          <w:numId w:val="8"/>
        </w:numPr>
        <w:spacing w:line="360" w:lineRule="auto"/>
        <w:ind w:firstLineChars="0"/>
        <w:outlineLvl w:val="0"/>
        <w:rPr>
          <w:rFonts w:ascii="Times New Roman" w:hAnsi="Times New Roman" w:cs="Times New Roman"/>
          <w:b/>
          <w:bCs/>
          <w:sz w:val="21"/>
          <w:szCs w:val="21"/>
        </w:rPr>
      </w:pPr>
      <w:bookmarkStart w:id="1568" w:name="_Toc407612849"/>
      <w:bookmarkStart w:id="1569" w:name="_Toc407613218"/>
      <w:bookmarkStart w:id="1570" w:name="_Toc152"/>
      <w:bookmarkStart w:id="1571" w:name="_Toc406595834"/>
      <w:bookmarkStart w:id="1572" w:name="_Toc535397644"/>
      <w:bookmarkStart w:id="1573" w:name="_Toc164420870"/>
      <w:bookmarkStart w:id="1574" w:name="_Toc13225550"/>
      <w:bookmarkStart w:id="1575" w:name="_Toc16187"/>
      <w:bookmarkStart w:id="1576" w:name="_Toc15386318"/>
      <w:bookmarkStart w:id="1577" w:name="_Toc134728973"/>
      <w:r>
        <w:rPr>
          <w:rFonts w:ascii="Times New Roman" w:hAnsi="Times New Roman" w:cs="Times New Roman"/>
          <w:b/>
          <w:bCs/>
          <w:sz w:val="21"/>
          <w:szCs w:val="21"/>
        </w:rPr>
        <w:t>接受和拒绝任何或所有投标的权力</w:t>
      </w:r>
      <w:bookmarkEnd w:id="1568"/>
      <w:bookmarkEnd w:id="1569"/>
      <w:bookmarkEnd w:id="1570"/>
      <w:bookmarkEnd w:id="1571"/>
      <w:bookmarkEnd w:id="1572"/>
      <w:bookmarkEnd w:id="1573"/>
      <w:bookmarkEnd w:id="1574"/>
      <w:bookmarkEnd w:id="1575"/>
      <w:bookmarkEnd w:id="1576"/>
      <w:bookmarkEnd w:id="1577"/>
    </w:p>
    <w:p w14:paraId="779C2426">
      <w:pPr>
        <w:pStyle w:val="63"/>
        <w:numPr>
          <w:ilvl w:val="1"/>
          <w:numId w:val="8"/>
        </w:numPr>
        <w:spacing w:line="360" w:lineRule="auto"/>
        <w:ind w:firstLineChars="0"/>
        <w:outlineLvl w:val="0"/>
        <w:rPr>
          <w:rFonts w:ascii="Times New Roman" w:hAnsi="Times New Roman" w:cs="Times New Roman"/>
          <w:bCs/>
          <w:sz w:val="21"/>
          <w:szCs w:val="21"/>
        </w:rPr>
      </w:pPr>
      <w:bookmarkStart w:id="1578" w:name="_Toc30278"/>
      <w:bookmarkStart w:id="1579" w:name="_Toc164420871"/>
      <w:bookmarkStart w:id="1580" w:name="_Toc407613219"/>
      <w:bookmarkStart w:id="1581" w:name="_Toc406595835"/>
      <w:bookmarkStart w:id="1582" w:name="_Toc134728974"/>
      <w:bookmarkStart w:id="1583" w:name="_Toc535397645"/>
      <w:bookmarkStart w:id="1584" w:name="_Toc29498"/>
      <w:bookmarkStart w:id="1585" w:name="_Toc13225551"/>
      <w:bookmarkStart w:id="1586" w:name="_Toc15386319"/>
      <w:bookmarkStart w:id="1587" w:name="_Toc407612850"/>
      <w:r>
        <w:rPr>
          <w:rFonts w:ascii="Times New Roman" w:hAnsi="Times New Roman" w:cs="Times New Roman"/>
          <w:bCs/>
          <w:sz w:val="21"/>
          <w:szCs w:val="21"/>
        </w:rPr>
        <w:t>为维护国家利益和招标人的合法利益，招标人在发《中标通知书》前的任何时候仍有选择和拒绝任何或所有投标和取消招标过程的权力。并且，无须向受影响的投标人承担任何责任，同时也无须通知受影响的投标人有关招标人这样做的原因。</w:t>
      </w:r>
      <w:bookmarkEnd w:id="1578"/>
      <w:bookmarkEnd w:id="1579"/>
      <w:bookmarkEnd w:id="1580"/>
      <w:bookmarkEnd w:id="1581"/>
      <w:bookmarkEnd w:id="1582"/>
      <w:bookmarkEnd w:id="1583"/>
      <w:bookmarkEnd w:id="1584"/>
      <w:bookmarkEnd w:id="1585"/>
      <w:bookmarkEnd w:id="1586"/>
      <w:bookmarkEnd w:id="1587"/>
    </w:p>
    <w:p w14:paraId="561F9674">
      <w:pPr>
        <w:pStyle w:val="63"/>
        <w:numPr>
          <w:ilvl w:val="0"/>
          <w:numId w:val="8"/>
        </w:numPr>
        <w:spacing w:line="360" w:lineRule="auto"/>
        <w:ind w:firstLineChars="0"/>
        <w:outlineLvl w:val="0"/>
        <w:rPr>
          <w:rFonts w:ascii="Times New Roman" w:hAnsi="Times New Roman" w:cs="Times New Roman"/>
          <w:b/>
          <w:bCs/>
          <w:sz w:val="21"/>
          <w:szCs w:val="21"/>
        </w:rPr>
      </w:pPr>
      <w:bookmarkStart w:id="1588" w:name="_Toc15386320"/>
      <w:bookmarkStart w:id="1589" w:name="_Toc134728975"/>
      <w:bookmarkStart w:id="1590" w:name="_Toc164420872"/>
      <w:bookmarkStart w:id="1591" w:name="_Toc17768"/>
      <w:bookmarkStart w:id="1592" w:name="_Toc15665"/>
      <w:bookmarkStart w:id="1593" w:name="_Toc535397646"/>
      <w:bookmarkStart w:id="1594" w:name="_Toc13225552"/>
      <w:bookmarkStart w:id="1595" w:name="_Toc407613220"/>
      <w:bookmarkStart w:id="1596" w:name="_Toc406595836"/>
      <w:bookmarkStart w:id="1597" w:name="_Toc407612851"/>
      <w:r>
        <w:rPr>
          <w:rFonts w:ascii="Times New Roman" w:hAnsi="Times New Roman" w:cs="Times New Roman"/>
          <w:b/>
          <w:bCs/>
          <w:sz w:val="21"/>
          <w:szCs w:val="21"/>
        </w:rPr>
        <w:t>中标通知</w:t>
      </w:r>
      <w:bookmarkEnd w:id="1588"/>
      <w:bookmarkEnd w:id="1589"/>
      <w:bookmarkEnd w:id="1590"/>
      <w:bookmarkEnd w:id="1591"/>
      <w:bookmarkEnd w:id="1592"/>
      <w:bookmarkEnd w:id="1593"/>
      <w:bookmarkEnd w:id="1594"/>
      <w:bookmarkEnd w:id="1595"/>
      <w:bookmarkEnd w:id="1596"/>
      <w:bookmarkEnd w:id="1597"/>
    </w:p>
    <w:p w14:paraId="220A361E">
      <w:pPr>
        <w:pStyle w:val="63"/>
        <w:numPr>
          <w:ilvl w:val="1"/>
          <w:numId w:val="8"/>
        </w:numPr>
        <w:spacing w:line="360" w:lineRule="auto"/>
        <w:ind w:firstLineChars="0"/>
        <w:outlineLvl w:val="0"/>
        <w:rPr>
          <w:rFonts w:ascii="Times New Roman" w:hAnsi="Times New Roman" w:cs="Times New Roman"/>
          <w:bCs/>
          <w:sz w:val="21"/>
          <w:szCs w:val="21"/>
        </w:rPr>
      </w:pPr>
      <w:bookmarkStart w:id="1598" w:name="_Toc407612853"/>
      <w:bookmarkStart w:id="1599" w:name="_Toc134728977"/>
      <w:bookmarkStart w:id="1600" w:name="_Toc164420874"/>
      <w:bookmarkStart w:id="1601" w:name="_Toc406595838"/>
      <w:bookmarkStart w:id="1602" w:name="_Toc13887"/>
      <w:bookmarkStart w:id="1603" w:name="_Toc407613222"/>
      <w:bookmarkStart w:id="1604" w:name="_Toc15386322"/>
      <w:bookmarkStart w:id="1605" w:name="_Toc535397648"/>
      <w:bookmarkStart w:id="1606" w:name="_Toc13225554"/>
      <w:bookmarkStart w:id="1607" w:name="_Toc25423"/>
      <w:r>
        <w:rPr>
          <w:rFonts w:ascii="Times New Roman" w:hAnsi="Times New Roman" w:cs="Times New Roman"/>
          <w:kern w:val="24"/>
          <w:sz w:val="21"/>
          <w:szCs w:val="21"/>
        </w:rPr>
        <w:t>招标人确定</w:t>
      </w:r>
      <w:r>
        <w:rPr>
          <w:rFonts w:hint="eastAsia" w:ascii="Times New Roman" w:hAnsi="Times New Roman" w:cs="Times New Roman"/>
          <w:sz w:val="21"/>
          <w:szCs w:val="21"/>
        </w:rPr>
        <w:t>中标人</w:t>
      </w:r>
      <w:r>
        <w:rPr>
          <w:rFonts w:ascii="Times New Roman" w:hAnsi="Times New Roman" w:cs="Times New Roman"/>
          <w:kern w:val="24"/>
          <w:sz w:val="21"/>
          <w:szCs w:val="21"/>
        </w:rPr>
        <w:t>后，招标代理机构向</w:t>
      </w:r>
      <w:r>
        <w:rPr>
          <w:rFonts w:hint="eastAsia" w:ascii="Times New Roman" w:hAnsi="Times New Roman" w:cs="Times New Roman"/>
          <w:sz w:val="21"/>
          <w:szCs w:val="21"/>
        </w:rPr>
        <w:t>中标人</w:t>
      </w:r>
      <w:r>
        <w:rPr>
          <w:rFonts w:ascii="Times New Roman" w:hAnsi="Times New Roman" w:cs="Times New Roman"/>
          <w:kern w:val="24"/>
          <w:sz w:val="21"/>
          <w:szCs w:val="21"/>
        </w:rPr>
        <w:t>发出《中标通知书》，同时</w:t>
      </w:r>
      <w:r>
        <w:rPr>
          <w:rFonts w:ascii="Times New Roman" w:hAnsi="Times New Roman" w:cs="Times New Roman"/>
          <w:sz w:val="21"/>
          <w:szCs w:val="21"/>
        </w:rPr>
        <w:t>将中标结果通知其它未中标的投标人；对未中标者，招标人/招标代理机构不对未中标原因做出解释，同时亦不退还投标文件。</w:t>
      </w:r>
      <w:bookmarkEnd w:id="1598"/>
      <w:bookmarkEnd w:id="1599"/>
      <w:bookmarkEnd w:id="1600"/>
      <w:bookmarkEnd w:id="1601"/>
      <w:bookmarkEnd w:id="1602"/>
      <w:bookmarkEnd w:id="1603"/>
      <w:bookmarkEnd w:id="1604"/>
      <w:bookmarkEnd w:id="1605"/>
      <w:bookmarkEnd w:id="1606"/>
      <w:bookmarkEnd w:id="1607"/>
    </w:p>
    <w:p w14:paraId="1595CCE0">
      <w:pPr>
        <w:pStyle w:val="63"/>
        <w:numPr>
          <w:ilvl w:val="1"/>
          <w:numId w:val="8"/>
        </w:numPr>
        <w:spacing w:line="360" w:lineRule="auto"/>
        <w:ind w:firstLineChars="0"/>
        <w:outlineLvl w:val="0"/>
        <w:rPr>
          <w:rFonts w:ascii="Times New Roman" w:hAnsi="Times New Roman" w:cs="Times New Roman"/>
          <w:bCs/>
          <w:sz w:val="21"/>
          <w:szCs w:val="21"/>
        </w:rPr>
      </w:pPr>
      <w:bookmarkStart w:id="1608" w:name="_Toc20631"/>
      <w:bookmarkStart w:id="1609" w:name="_Toc15386323"/>
      <w:bookmarkStart w:id="1610" w:name="_Toc134728978"/>
      <w:bookmarkStart w:id="1611" w:name="_Toc535397649"/>
      <w:bookmarkStart w:id="1612" w:name="_Toc13225555"/>
      <w:bookmarkStart w:id="1613" w:name="_Toc407613223"/>
      <w:bookmarkStart w:id="1614" w:name="_Toc407612854"/>
      <w:bookmarkStart w:id="1615" w:name="_Toc164420875"/>
      <w:bookmarkStart w:id="1616" w:name="_Toc28540"/>
      <w:bookmarkStart w:id="1617" w:name="_Toc406595839"/>
      <w:r>
        <w:rPr>
          <w:rFonts w:ascii="Times New Roman" w:hAnsi="Times New Roman" w:cs="Times New Roman"/>
          <w:sz w:val="21"/>
          <w:szCs w:val="21"/>
        </w:rPr>
        <w:t>招标代理机构按规定退还投标保证金。</w:t>
      </w:r>
      <w:bookmarkEnd w:id="1608"/>
      <w:bookmarkEnd w:id="1609"/>
      <w:bookmarkEnd w:id="1610"/>
      <w:bookmarkEnd w:id="1611"/>
      <w:bookmarkEnd w:id="1612"/>
      <w:bookmarkEnd w:id="1613"/>
      <w:bookmarkEnd w:id="1614"/>
      <w:bookmarkEnd w:id="1615"/>
      <w:bookmarkEnd w:id="1616"/>
      <w:bookmarkEnd w:id="1617"/>
    </w:p>
    <w:p w14:paraId="20E05190">
      <w:pPr>
        <w:pStyle w:val="63"/>
        <w:numPr>
          <w:ilvl w:val="1"/>
          <w:numId w:val="8"/>
        </w:numPr>
        <w:spacing w:line="360" w:lineRule="auto"/>
        <w:ind w:firstLineChars="0"/>
        <w:outlineLvl w:val="0"/>
        <w:rPr>
          <w:rFonts w:ascii="Times New Roman" w:hAnsi="Times New Roman" w:cs="Times New Roman"/>
          <w:bCs/>
          <w:sz w:val="21"/>
          <w:szCs w:val="21"/>
        </w:rPr>
      </w:pPr>
      <w:bookmarkStart w:id="1618" w:name="_Toc13225556"/>
      <w:bookmarkStart w:id="1619" w:name="_Toc28602"/>
      <w:bookmarkStart w:id="1620" w:name="_Toc15386324"/>
      <w:bookmarkStart w:id="1621" w:name="_Toc25655"/>
      <w:bookmarkStart w:id="1622" w:name="_Toc406595840"/>
      <w:bookmarkStart w:id="1623" w:name="_Toc407612855"/>
      <w:bookmarkStart w:id="1624" w:name="_Toc134728979"/>
      <w:bookmarkStart w:id="1625" w:name="_Toc407613224"/>
      <w:bookmarkStart w:id="1626" w:name="_Toc164420876"/>
      <w:bookmarkStart w:id="1627" w:name="_Toc535397650"/>
      <w:r>
        <w:rPr>
          <w:rFonts w:ascii="Times New Roman" w:hAnsi="Times New Roman" w:cs="Times New Roman"/>
          <w:sz w:val="21"/>
          <w:szCs w:val="21"/>
        </w:rPr>
        <w:t>《中标通知书》是合同文件的组成部分。</w:t>
      </w:r>
      <w:bookmarkEnd w:id="1618"/>
      <w:bookmarkEnd w:id="1619"/>
      <w:bookmarkEnd w:id="1620"/>
      <w:bookmarkEnd w:id="1621"/>
      <w:bookmarkEnd w:id="1622"/>
      <w:bookmarkEnd w:id="1623"/>
      <w:bookmarkEnd w:id="1624"/>
      <w:bookmarkEnd w:id="1625"/>
      <w:bookmarkEnd w:id="1626"/>
      <w:bookmarkEnd w:id="1627"/>
    </w:p>
    <w:p w14:paraId="30191F02">
      <w:pPr>
        <w:pStyle w:val="63"/>
        <w:numPr>
          <w:ilvl w:val="0"/>
          <w:numId w:val="8"/>
        </w:numPr>
        <w:spacing w:line="360" w:lineRule="auto"/>
        <w:ind w:firstLineChars="0"/>
        <w:outlineLvl w:val="0"/>
        <w:rPr>
          <w:rFonts w:ascii="Times New Roman" w:hAnsi="Times New Roman" w:cs="Times New Roman"/>
          <w:b/>
          <w:bCs/>
          <w:sz w:val="21"/>
          <w:szCs w:val="21"/>
        </w:rPr>
      </w:pPr>
      <w:bookmarkStart w:id="1628" w:name="_Toc164420877"/>
      <w:bookmarkStart w:id="1629" w:name="_Toc13225557"/>
      <w:bookmarkStart w:id="1630" w:name="_Toc15386325"/>
      <w:bookmarkStart w:id="1631" w:name="_Toc134728980"/>
      <w:bookmarkStart w:id="1632" w:name="_Toc535397651"/>
      <w:bookmarkStart w:id="1633" w:name="_Toc407613225"/>
      <w:bookmarkStart w:id="1634" w:name="_Toc406595841"/>
      <w:bookmarkStart w:id="1635" w:name="_Toc26577"/>
      <w:bookmarkStart w:id="1636" w:name="_Toc407612856"/>
      <w:bookmarkStart w:id="1637" w:name="_Toc15706"/>
      <w:r>
        <w:rPr>
          <w:rFonts w:ascii="Times New Roman" w:hAnsi="Times New Roman" w:cs="Times New Roman"/>
          <w:b/>
          <w:bCs/>
          <w:sz w:val="21"/>
          <w:szCs w:val="21"/>
        </w:rPr>
        <w:t>签定采购合同</w:t>
      </w:r>
      <w:bookmarkEnd w:id="1628"/>
      <w:bookmarkEnd w:id="1629"/>
      <w:bookmarkEnd w:id="1630"/>
      <w:bookmarkEnd w:id="1631"/>
      <w:bookmarkEnd w:id="1632"/>
      <w:bookmarkEnd w:id="1633"/>
      <w:bookmarkEnd w:id="1634"/>
      <w:bookmarkEnd w:id="1635"/>
      <w:bookmarkEnd w:id="1636"/>
      <w:bookmarkEnd w:id="1637"/>
    </w:p>
    <w:p w14:paraId="3AE27113">
      <w:pPr>
        <w:pStyle w:val="63"/>
        <w:numPr>
          <w:ilvl w:val="1"/>
          <w:numId w:val="8"/>
        </w:numPr>
        <w:spacing w:line="360" w:lineRule="auto"/>
        <w:ind w:firstLineChars="0"/>
        <w:outlineLvl w:val="0"/>
        <w:rPr>
          <w:rFonts w:ascii="Times New Roman" w:hAnsi="Times New Roman" w:cs="Times New Roman"/>
          <w:bCs/>
          <w:sz w:val="21"/>
          <w:szCs w:val="21"/>
        </w:rPr>
      </w:pPr>
      <w:bookmarkStart w:id="1638" w:name="_Toc29533"/>
      <w:bookmarkStart w:id="1639" w:name="_Toc292"/>
      <w:bookmarkStart w:id="1640" w:name="_Toc407613226"/>
      <w:bookmarkStart w:id="1641" w:name="_Toc13225558"/>
      <w:bookmarkStart w:id="1642" w:name="_Toc407612857"/>
      <w:bookmarkStart w:id="1643" w:name="_Toc535397652"/>
      <w:bookmarkStart w:id="1644" w:name="_Toc134728981"/>
      <w:bookmarkStart w:id="1645" w:name="_Toc15386326"/>
      <w:bookmarkStart w:id="1646" w:name="_Toc164420878"/>
      <w:bookmarkStart w:id="1647" w:name="_Toc406595842"/>
      <w:r>
        <w:rPr>
          <w:rFonts w:hint="eastAsia" w:ascii="Times New Roman" w:hAnsi="Times New Roman" w:cs="Times New Roman"/>
          <w:sz w:val="21"/>
          <w:szCs w:val="21"/>
        </w:rPr>
        <w:t>中标人</w:t>
      </w:r>
      <w:r>
        <w:rPr>
          <w:rFonts w:ascii="Times New Roman" w:hAnsi="Times New Roman" w:cs="Times New Roman"/>
          <w:sz w:val="21"/>
          <w:szCs w:val="21"/>
        </w:rPr>
        <w:t>在《中标通知书》发出后30日内与招标人签订采购合同。</w:t>
      </w:r>
      <w:bookmarkEnd w:id="1638"/>
      <w:bookmarkEnd w:id="1639"/>
      <w:bookmarkEnd w:id="1640"/>
      <w:bookmarkEnd w:id="1641"/>
      <w:bookmarkEnd w:id="1642"/>
      <w:bookmarkEnd w:id="1643"/>
      <w:bookmarkEnd w:id="1644"/>
      <w:bookmarkEnd w:id="1645"/>
      <w:bookmarkEnd w:id="1646"/>
      <w:bookmarkEnd w:id="1647"/>
    </w:p>
    <w:p w14:paraId="44FCFD85">
      <w:pPr>
        <w:pStyle w:val="63"/>
        <w:numPr>
          <w:ilvl w:val="1"/>
          <w:numId w:val="8"/>
        </w:numPr>
        <w:spacing w:line="360" w:lineRule="auto"/>
        <w:ind w:firstLineChars="0"/>
        <w:outlineLvl w:val="0"/>
        <w:rPr>
          <w:rFonts w:ascii="Times New Roman" w:hAnsi="Times New Roman" w:cs="Times New Roman"/>
          <w:bCs/>
          <w:sz w:val="21"/>
          <w:szCs w:val="21"/>
        </w:rPr>
      </w:pPr>
      <w:bookmarkStart w:id="1648" w:name="_Toc164420879"/>
      <w:bookmarkStart w:id="1649" w:name="_Toc134728982"/>
      <w:bookmarkStart w:id="1650" w:name="_Toc407613227"/>
      <w:bookmarkStart w:id="1651" w:name="_Toc2058"/>
      <w:bookmarkStart w:id="1652" w:name="_Toc535397653"/>
      <w:bookmarkStart w:id="1653" w:name="_Toc5852"/>
      <w:bookmarkStart w:id="1654" w:name="_Toc15386327"/>
      <w:bookmarkStart w:id="1655" w:name="_Toc406595843"/>
      <w:bookmarkStart w:id="1656" w:name="_Toc13225559"/>
      <w:bookmarkStart w:id="1657" w:name="_Toc407612858"/>
      <w:r>
        <w:rPr>
          <w:rFonts w:ascii="Times New Roman" w:hAnsi="Times New Roman" w:cs="Times New Roman"/>
          <w:kern w:val="24"/>
          <w:sz w:val="21"/>
          <w:szCs w:val="21"/>
        </w:rPr>
        <w:t>招标文件</w:t>
      </w:r>
      <w:r>
        <w:rPr>
          <w:rFonts w:ascii="Times New Roman" w:hAnsi="Times New Roman" w:cs="Times New Roman"/>
          <w:sz w:val="21"/>
          <w:szCs w:val="21"/>
        </w:rPr>
        <w:t>、</w:t>
      </w:r>
      <w:r>
        <w:rPr>
          <w:rFonts w:hint="eastAsia" w:ascii="Times New Roman" w:hAnsi="Times New Roman" w:cs="Times New Roman"/>
          <w:sz w:val="21"/>
          <w:szCs w:val="21"/>
        </w:rPr>
        <w:t>中标人</w:t>
      </w:r>
      <w:r>
        <w:rPr>
          <w:rFonts w:ascii="Times New Roman" w:hAnsi="Times New Roman" w:cs="Times New Roman"/>
          <w:sz w:val="21"/>
          <w:szCs w:val="21"/>
        </w:rPr>
        <w:t>的投标文件及其补充/修改/澄清函件等均为采购合同的重要组成部分。</w:t>
      </w:r>
      <w:bookmarkEnd w:id="1648"/>
      <w:bookmarkEnd w:id="1649"/>
      <w:bookmarkEnd w:id="1650"/>
      <w:bookmarkEnd w:id="1651"/>
      <w:bookmarkEnd w:id="1652"/>
      <w:bookmarkEnd w:id="1653"/>
      <w:bookmarkEnd w:id="1654"/>
      <w:bookmarkEnd w:id="1655"/>
      <w:bookmarkEnd w:id="1656"/>
      <w:bookmarkEnd w:id="1657"/>
    </w:p>
    <w:p w14:paraId="0FD213F9">
      <w:pPr>
        <w:pStyle w:val="63"/>
        <w:numPr>
          <w:ilvl w:val="1"/>
          <w:numId w:val="8"/>
        </w:numPr>
        <w:spacing w:line="360" w:lineRule="auto"/>
        <w:ind w:firstLineChars="0"/>
        <w:outlineLvl w:val="0"/>
        <w:rPr>
          <w:rFonts w:ascii="Times New Roman" w:hAnsi="Times New Roman" w:cs="Times New Roman"/>
          <w:bCs/>
          <w:sz w:val="21"/>
          <w:szCs w:val="21"/>
        </w:rPr>
      </w:pPr>
      <w:bookmarkStart w:id="1658" w:name="_Toc13225560"/>
      <w:bookmarkStart w:id="1659" w:name="_Toc407613228"/>
      <w:bookmarkStart w:id="1660" w:name="_Toc164420880"/>
      <w:bookmarkStart w:id="1661" w:name="_Toc134728983"/>
      <w:bookmarkStart w:id="1662" w:name="_Toc535397654"/>
      <w:bookmarkStart w:id="1663" w:name="_Toc407612859"/>
      <w:bookmarkStart w:id="1664" w:name="_Toc406595844"/>
      <w:bookmarkStart w:id="1665" w:name="_Toc15386328"/>
      <w:bookmarkStart w:id="1666" w:name="_Toc24101"/>
      <w:bookmarkStart w:id="1667" w:name="_Toc13626"/>
      <w:r>
        <w:rPr>
          <w:rFonts w:hint="eastAsia" w:ascii="Times New Roman" w:hAnsi="Times New Roman" w:cs="Times New Roman"/>
          <w:sz w:val="21"/>
          <w:szCs w:val="21"/>
        </w:rPr>
        <w:t>中标人</w:t>
      </w:r>
      <w:r>
        <w:rPr>
          <w:rFonts w:ascii="Times New Roman" w:hAnsi="Times New Roman" w:cs="Times New Roman"/>
          <w:bCs/>
          <w:sz w:val="21"/>
          <w:szCs w:val="21"/>
        </w:rPr>
        <w:t>应当按照采购合同约定履行义务，</w:t>
      </w:r>
      <w:r>
        <w:rPr>
          <w:rFonts w:hint="eastAsia" w:ascii="Times New Roman" w:hAnsi="Times New Roman" w:cs="Times New Roman"/>
          <w:sz w:val="21"/>
          <w:szCs w:val="21"/>
        </w:rPr>
        <w:t>中标人</w:t>
      </w:r>
      <w:r>
        <w:rPr>
          <w:rFonts w:ascii="Times New Roman" w:hAnsi="Times New Roman" w:cs="Times New Roman"/>
          <w:bCs/>
          <w:sz w:val="21"/>
          <w:szCs w:val="21"/>
        </w:rPr>
        <w:t>不得向他人转让中标项目，也不得事先未经招标人同意将中标项目分包</w:t>
      </w:r>
      <w:r>
        <w:rPr>
          <w:rFonts w:ascii="Times New Roman" w:hAnsi="Times New Roman" w:cs="Times New Roman"/>
          <w:sz w:val="21"/>
          <w:szCs w:val="21"/>
        </w:rPr>
        <w:t>。否则，招标人有权撤消合同，并要求</w:t>
      </w:r>
      <w:r>
        <w:rPr>
          <w:rFonts w:hint="eastAsia" w:ascii="Times New Roman" w:hAnsi="Times New Roman" w:cs="Times New Roman"/>
          <w:sz w:val="21"/>
          <w:szCs w:val="21"/>
        </w:rPr>
        <w:t>中标人</w:t>
      </w:r>
      <w:r>
        <w:rPr>
          <w:rFonts w:ascii="Times New Roman" w:hAnsi="Times New Roman" w:cs="Times New Roman"/>
          <w:sz w:val="21"/>
          <w:szCs w:val="21"/>
        </w:rPr>
        <w:t>退回已支付资金和赔偿相应的损失。</w:t>
      </w:r>
      <w:bookmarkEnd w:id="1658"/>
      <w:bookmarkEnd w:id="1659"/>
      <w:bookmarkEnd w:id="1660"/>
      <w:bookmarkEnd w:id="1661"/>
      <w:bookmarkEnd w:id="1662"/>
      <w:bookmarkEnd w:id="1663"/>
      <w:bookmarkEnd w:id="1664"/>
      <w:bookmarkEnd w:id="1665"/>
      <w:bookmarkEnd w:id="1666"/>
      <w:bookmarkEnd w:id="1667"/>
    </w:p>
    <w:p w14:paraId="75856844">
      <w:pPr>
        <w:pStyle w:val="63"/>
        <w:numPr>
          <w:ilvl w:val="0"/>
          <w:numId w:val="8"/>
        </w:numPr>
        <w:spacing w:line="360" w:lineRule="auto"/>
        <w:ind w:firstLineChars="0"/>
        <w:outlineLvl w:val="0"/>
        <w:rPr>
          <w:rFonts w:ascii="Times New Roman" w:hAnsi="Times New Roman" w:cs="Times New Roman"/>
          <w:b/>
          <w:bCs/>
          <w:sz w:val="21"/>
          <w:szCs w:val="21"/>
        </w:rPr>
      </w:pPr>
      <w:bookmarkStart w:id="1668" w:name="_Toc407613229"/>
      <w:bookmarkStart w:id="1669" w:name="_Toc134728984"/>
      <w:bookmarkStart w:id="1670" w:name="_Toc535397655"/>
      <w:bookmarkStart w:id="1671" w:name="_Toc164420881"/>
      <w:bookmarkStart w:id="1672" w:name="_Toc406595845"/>
      <w:bookmarkStart w:id="1673" w:name="_Toc407612860"/>
      <w:bookmarkStart w:id="1674" w:name="_Toc13225561"/>
      <w:bookmarkStart w:id="1675" w:name="_Toc7965"/>
      <w:bookmarkStart w:id="1676" w:name="_Toc15386329"/>
      <w:bookmarkStart w:id="1677" w:name="_Toc29507"/>
      <w:r>
        <w:rPr>
          <w:rFonts w:ascii="Times New Roman" w:hAnsi="Times New Roman" w:cs="Times New Roman"/>
          <w:b/>
          <w:bCs/>
          <w:sz w:val="21"/>
          <w:szCs w:val="21"/>
        </w:rPr>
        <w:t>腐败和欺诈行为</w:t>
      </w:r>
      <w:bookmarkEnd w:id="1668"/>
      <w:bookmarkEnd w:id="1669"/>
      <w:bookmarkEnd w:id="1670"/>
      <w:bookmarkEnd w:id="1671"/>
      <w:bookmarkEnd w:id="1672"/>
      <w:bookmarkEnd w:id="1673"/>
      <w:bookmarkEnd w:id="1674"/>
      <w:bookmarkEnd w:id="1675"/>
      <w:bookmarkEnd w:id="1676"/>
      <w:bookmarkEnd w:id="1677"/>
    </w:p>
    <w:p w14:paraId="7BB472F9">
      <w:pPr>
        <w:pStyle w:val="63"/>
        <w:numPr>
          <w:ilvl w:val="1"/>
          <w:numId w:val="8"/>
        </w:numPr>
        <w:spacing w:line="360" w:lineRule="auto"/>
        <w:ind w:firstLineChars="0"/>
        <w:outlineLvl w:val="0"/>
        <w:rPr>
          <w:rFonts w:ascii="Times New Roman" w:hAnsi="Times New Roman" w:cs="Times New Roman"/>
          <w:bCs/>
          <w:sz w:val="21"/>
          <w:szCs w:val="21"/>
        </w:rPr>
      </w:pPr>
      <w:bookmarkStart w:id="1678" w:name="_Toc18252"/>
      <w:bookmarkStart w:id="1679" w:name="_Toc535397656"/>
      <w:bookmarkStart w:id="1680" w:name="_Toc406595846"/>
      <w:bookmarkStart w:id="1681" w:name="_Toc4780"/>
      <w:bookmarkStart w:id="1682" w:name="_Toc134728985"/>
      <w:bookmarkStart w:id="1683" w:name="_Toc13225562"/>
      <w:bookmarkStart w:id="1684" w:name="_Toc164420882"/>
      <w:bookmarkStart w:id="1685" w:name="_Toc407613230"/>
      <w:bookmarkStart w:id="1686" w:name="_Toc15386330"/>
      <w:bookmarkStart w:id="1687" w:name="_Toc407612861"/>
      <w:r>
        <w:rPr>
          <w:rFonts w:ascii="Times New Roman" w:hAnsi="Times New Roman" w:cs="Times New Roman"/>
          <w:bCs/>
          <w:sz w:val="21"/>
          <w:szCs w:val="21"/>
        </w:rPr>
        <w:t>发生以下情况中标无效或被拒绝发出</w:t>
      </w:r>
      <w:r>
        <w:rPr>
          <w:rFonts w:ascii="Times New Roman" w:hAnsi="Times New Roman" w:cs="Times New Roman"/>
          <w:kern w:val="24"/>
          <w:sz w:val="21"/>
          <w:szCs w:val="21"/>
        </w:rPr>
        <w:t>《中标通知书》</w:t>
      </w:r>
      <w:r>
        <w:rPr>
          <w:rFonts w:ascii="Times New Roman" w:hAnsi="Times New Roman" w:cs="Times New Roman"/>
          <w:bCs/>
          <w:sz w:val="21"/>
          <w:szCs w:val="21"/>
        </w:rPr>
        <w:t>：</w:t>
      </w:r>
      <w:bookmarkEnd w:id="1678"/>
      <w:bookmarkEnd w:id="1679"/>
      <w:bookmarkEnd w:id="1680"/>
      <w:bookmarkEnd w:id="1681"/>
      <w:bookmarkEnd w:id="1682"/>
      <w:bookmarkEnd w:id="1683"/>
      <w:bookmarkEnd w:id="1684"/>
      <w:bookmarkEnd w:id="1685"/>
      <w:bookmarkEnd w:id="1686"/>
      <w:bookmarkEnd w:id="1687"/>
    </w:p>
    <w:p w14:paraId="78CD9BE7">
      <w:pPr>
        <w:pStyle w:val="63"/>
        <w:numPr>
          <w:ilvl w:val="2"/>
          <w:numId w:val="8"/>
        </w:numPr>
        <w:spacing w:line="360" w:lineRule="auto"/>
        <w:ind w:firstLineChars="0"/>
        <w:outlineLvl w:val="0"/>
        <w:rPr>
          <w:rFonts w:ascii="Times New Roman" w:hAnsi="Times New Roman" w:cs="Times New Roman"/>
          <w:bCs/>
          <w:sz w:val="21"/>
          <w:szCs w:val="21"/>
        </w:rPr>
      </w:pPr>
      <w:bookmarkStart w:id="1688" w:name="_Toc407613231"/>
      <w:bookmarkStart w:id="1689" w:name="_Toc11947"/>
      <w:bookmarkStart w:id="1690" w:name="_Toc15386331"/>
      <w:bookmarkStart w:id="1691" w:name="_Toc134728986"/>
      <w:bookmarkStart w:id="1692" w:name="_Toc407612862"/>
      <w:bookmarkStart w:id="1693" w:name="_Toc31001"/>
      <w:bookmarkStart w:id="1694" w:name="_Toc535397657"/>
      <w:bookmarkStart w:id="1695" w:name="_Toc13225563"/>
      <w:bookmarkStart w:id="1696" w:name="_Toc406595847"/>
      <w:bookmarkStart w:id="1697" w:name="_Toc164420883"/>
      <w:r>
        <w:rPr>
          <w:rFonts w:ascii="Times New Roman" w:hAnsi="Times New Roman" w:cs="Times New Roman"/>
          <w:bCs/>
          <w:sz w:val="21"/>
          <w:szCs w:val="21"/>
        </w:rPr>
        <w:t>“</w:t>
      </w:r>
      <w:r>
        <w:rPr>
          <w:rFonts w:ascii="Times New Roman" w:hAnsi="Times New Roman" w:cs="Times New Roman"/>
          <w:sz w:val="21"/>
          <w:szCs w:val="21"/>
        </w:rPr>
        <w:t>投标人相互串通投标或者与招标人串通投标的，投标人以向招标人或者评标委员会成员行贿的手段谋取中标的</w:t>
      </w:r>
      <w:r>
        <w:rPr>
          <w:rFonts w:ascii="Times New Roman" w:hAnsi="Times New Roman" w:cs="Times New Roman"/>
          <w:bCs/>
          <w:sz w:val="21"/>
          <w:szCs w:val="21"/>
        </w:rPr>
        <w:t>。</w:t>
      </w:r>
      <w:bookmarkEnd w:id="1688"/>
      <w:bookmarkEnd w:id="1689"/>
      <w:bookmarkEnd w:id="1690"/>
      <w:bookmarkEnd w:id="1691"/>
      <w:bookmarkEnd w:id="1692"/>
      <w:bookmarkEnd w:id="1693"/>
      <w:bookmarkEnd w:id="1694"/>
      <w:bookmarkEnd w:id="1695"/>
      <w:bookmarkEnd w:id="1696"/>
      <w:bookmarkEnd w:id="1697"/>
    </w:p>
    <w:p w14:paraId="046B7125">
      <w:pPr>
        <w:pStyle w:val="63"/>
        <w:numPr>
          <w:ilvl w:val="2"/>
          <w:numId w:val="8"/>
        </w:numPr>
        <w:spacing w:line="360" w:lineRule="auto"/>
        <w:ind w:firstLineChars="0"/>
        <w:outlineLvl w:val="0"/>
        <w:rPr>
          <w:rFonts w:ascii="Times New Roman" w:hAnsi="Times New Roman" w:cs="Times New Roman"/>
          <w:bCs/>
          <w:sz w:val="21"/>
          <w:szCs w:val="21"/>
        </w:rPr>
      </w:pPr>
      <w:bookmarkStart w:id="1698" w:name="_Toc407612863"/>
      <w:bookmarkStart w:id="1699" w:name="_Toc15386332"/>
      <w:bookmarkStart w:id="1700" w:name="_Toc134728987"/>
      <w:bookmarkStart w:id="1701" w:name="_Toc164420884"/>
      <w:bookmarkStart w:id="1702" w:name="_Toc407613232"/>
      <w:bookmarkStart w:id="1703" w:name="_Toc17480"/>
      <w:bookmarkStart w:id="1704" w:name="_Toc406595848"/>
      <w:bookmarkStart w:id="1705" w:name="_Toc13624"/>
      <w:bookmarkStart w:id="1706" w:name="_Toc13225564"/>
      <w:bookmarkStart w:id="1707" w:name="_Toc535397658"/>
      <w:r>
        <w:rPr>
          <w:rFonts w:ascii="Times New Roman" w:hAnsi="Times New Roman" w:cs="Times New Roman"/>
          <w:sz w:val="21"/>
          <w:szCs w:val="21"/>
        </w:rPr>
        <w:t>投标人以他人名义投标或者以其他方式弄虚作假，骗取中标的。</w:t>
      </w:r>
      <w:bookmarkEnd w:id="1698"/>
      <w:bookmarkEnd w:id="1699"/>
      <w:bookmarkEnd w:id="1700"/>
      <w:bookmarkEnd w:id="1701"/>
      <w:bookmarkEnd w:id="1702"/>
      <w:bookmarkEnd w:id="1703"/>
      <w:bookmarkEnd w:id="1704"/>
      <w:bookmarkEnd w:id="1705"/>
      <w:bookmarkEnd w:id="1706"/>
      <w:bookmarkEnd w:id="1707"/>
    </w:p>
    <w:p w14:paraId="0E7B469B">
      <w:pPr>
        <w:pStyle w:val="63"/>
        <w:numPr>
          <w:ilvl w:val="0"/>
          <w:numId w:val="8"/>
        </w:numPr>
        <w:spacing w:line="360" w:lineRule="auto"/>
        <w:ind w:firstLineChars="0"/>
        <w:outlineLvl w:val="0"/>
        <w:rPr>
          <w:rFonts w:ascii="Times New Roman" w:hAnsi="Times New Roman" w:cs="Times New Roman"/>
          <w:b/>
          <w:bCs/>
          <w:sz w:val="21"/>
          <w:szCs w:val="21"/>
        </w:rPr>
      </w:pPr>
      <w:bookmarkStart w:id="1708" w:name="_Toc164420885"/>
      <w:bookmarkStart w:id="1709" w:name="_Toc407613233"/>
      <w:bookmarkStart w:id="1710" w:name="_Toc406595849"/>
      <w:bookmarkStart w:id="1711" w:name="_Toc13225565"/>
      <w:bookmarkStart w:id="1712" w:name="_Toc535397659"/>
      <w:bookmarkStart w:id="1713" w:name="_Toc5698"/>
      <w:bookmarkStart w:id="1714" w:name="_Toc16903"/>
      <w:bookmarkStart w:id="1715" w:name="_Toc407612864"/>
      <w:bookmarkStart w:id="1716" w:name="_Toc134728988"/>
      <w:bookmarkStart w:id="1717" w:name="_Toc15386333"/>
      <w:r>
        <w:rPr>
          <w:rFonts w:ascii="Times New Roman" w:hAnsi="Times New Roman" w:cs="Times New Roman"/>
          <w:b/>
          <w:bCs/>
          <w:sz w:val="21"/>
          <w:szCs w:val="21"/>
        </w:rPr>
        <w:t>招标代理服务费</w:t>
      </w:r>
      <w:bookmarkEnd w:id="1708"/>
      <w:bookmarkEnd w:id="1709"/>
      <w:bookmarkEnd w:id="1710"/>
      <w:bookmarkEnd w:id="1711"/>
      <w:bookmarkEnd w:id="1712"/>
      <w:bookmarkEnd w:id="1713"/>
      <w:bookmarkEnd w:id="1714"/>
      <w:bookmarkEnd w:id="1715"/>
      <w:bookmarkEnd w:id="1716"/>
      <w:bookmarkEnd w:id="1717"/>
    </w:p>
    <w:p w14:paraId="2BC9726A">
      <w:pPr>
        <w:pStyle w:val="63"/>
        <w:numPr>
          <w:ilvl w:val="1"/>
          <w:numId w:val="8"/>
        </w:numPr>
        <w:spacing w:line="360" w:lineRule="auto"/>
        <w:ind w:firstLineChars="0"/>
        <w:outlineLvl w:val="0"/>
        <w:rPr>
          <w:rFonts w:ascii="Times New Roman" w:hAnsi="Times New Roman" w:cs="Times New Roman"/>
          <w:bCs/>
          <w:sz w:val="21"/>
          <w:szCs w:val="21"/>
        </w:rPr>
      </w:pPr>
      <w:bookmarkStart w:id="1718" w:name="_Toc407613234"/>
      <w:bookmarkStart w:id="1719" w:name="_Toc406595850"/>
      <w:bookmarkStart w:id="1720" w:name="_Toc407612865"/>
      <w:bookmarkStart w:id="1721" w:name="_Toc13225566"/>
      <w:bookmarkStart w:id="1722" w:name="_Toc164420886"/>
      <w:bookmarkStart w:id="1723" w:name="_Toc134728989"/>
      <w:bookmarkStart w:id="1724" w:name="_Toc15386334"/>
      <w:bookmarkStart w:id="1725" w:name="_Toc535397660"/>
      <w:bookmarkStart w:id="1726" w:name="_Toc21767"/>
      <w:bookmarkStart w:id="1727" w:name="_Toc23254"/>
      <w:r>
        <w:rPr>
          <w:rFonts w:ascii="Times New Roman" w:hAnsi="Times New Roman" w:cs="Times New Roman"/>
          <w:kern w:val="24"/>
          <w:sz w:val="21"/>
          <w:szCs w:val="21"/>
        </w:rPr>
        <w:t>本项目的</w:t>
      </w:r>
      <w:r>
        <w:rPr>
          <w:rFonts w:hint="eastAsia" w:ascii="Times New Roman" w:hAnsi="Times New Roman" w:cs="Times New Roman"/>
          <w:kern w:val="24"/>
          <w:sz w:val="21"/>
          <w:szCs w:val="21"/>
        </w:rPr>
        <w:t>中标人</w:t>
      </w:r>
      <w:r>
        <w:rPr>
          <w:rFonts w:ascii="Times New Roman" w:hAnsi="Times New Roman" w:cs="Times New Roman"/>
          <w:kern w:val="24"/>
          <w:sz w:val="21"/>
          <w:szCs w:val="21"/>
        </w:rPr>
        <w:t>应在中标通知书发出后一次性向招标代理机构支付招标代理服务费。</w:t>
      </w:r>
      <w:bookmarkEnd w:id="1718"/>
      <w:bookmarkEnd w:id="1719"/>
      <w:bookmarkEnd w:id="1720"/>
      <w:bookmarkEnd w:id="1721"/>
      <w:bookmarkEnd w:id="1722"/>
      <w:bookmarkEnd w:id="1723"/>
      <w:bookmarkEnd w:id="1724"/>
      <w:bookmarkEnd w:id="1725"/>
      <w:bookmarkEnd w:id="1726"/>
      <w:bookmarkEnd w:id="1727"/>
    </w:p>
    <w:p w14:paraId="19BEE5DB">
      <w:pPr>
        <w:pStyle w:val="63"/>
        <w:numPr>
          <w:ilvl w:val="1"/>
          <w:numId w:val="8"/>
        </w:numPr>
        <w:spacing w:line="360" w:lineRule="auto"/>
        <w:ind w:firstLineChars="0"/>
        <w:outlineLvl w:val="0"/>
        <w:rPr>
          <w:rFonts w:ascii="Times New Roman" w:hAnsi="Times New Roman" w:cs="Times New Roman"/>
          <w:bCs/>
          <w:sz w:val="21"/>
          <w:szCs w:val="21"/>
        </w:rPr>
      </w:pPr>
      <w:bookmarkStart w:id="1728" w:name="_Toc2670"/>
      <w:bookmarkStart w:id="1729" w:name="_Toc29504"/>
      <w:r>
        <w:rPr>
          <w:rFonts w:hint="eastAsia" w:ascii="Times New Roman" w:hAnsi="Times New Roman" w:cs="Times New Roman"/>
          <w:bCs/>
          <w:sz w:val="21"/>
          <w:szCs w:val="21"/>
        </w:rPr>
        <w:t>招标代理服务费包括支付给招标代理机构的中标服务费及实际发生专家评标费、招投标交易服务费、开评标室等相关费用。</w:t>
      </w:r>
      <w:bookmarkEnd w:id="1728"/>
      <w:bookmarkEnd w:id="1729"/>
    </w:p>
    <w:p w14:paraId="3D02C1C6">
      <w:pPr>
        <w:pStyle w:val="63"/>
        <w:numPr>
          <w:ilvl w:val="1"/>
          <w:numId w:val="8"/>
        </w:numPr>
        <w:spacing w:line="360" w:lineRule="auto"/>
        <w:ind w:firstLineChars="0"/>
        <w:outlineLvl w:val="0"/>
        <w:rPr>
          <w:rFonts w:ascii="Times New Roman" w:hAnsi="Times New Roman" w:cs="Times New Roman"/>
          <w:bCs/>
          <w:sz w:val="21"/>
          <w:szCs w:val="21"/>
        </w:rPr>
      </w:pPr>
      <w:bookmarkStart w:id="1730" w:name="_Toc407613235"/>
      <w:bookmarkStart w:id="1731" w:name="_Toc406595851"/>
      <w:bookmarkStart w:id="1732" w:name="_Toc535397661"/>
      <w:bookmarkStart w:id="1733" w:name="_Toc407612866"/>
      <w:bookmarkStart w:id="1734" w:name="_Toc15386335"/>
      <w:bookmarkStart w:id="1735" w:name="_Toc13225567"/>
      <w:bookmarkStart w:id="1736" w:name="_Toc164420887"/>
      <w:bookmarkStart w:id="1737" w:name="_Toc18538"/>
      <w:bookmarkStart w:id="1738" w:name="_Toc134728990"/>
      <w:bookmarkStart w:id="1739" w:name="_Toc15624"/>
      <w:r>
        <w:rPr>
          <w:rFonts w:hint="eastAsia" w:ascii="Times New Roman" w:hAnsi="Times New Roman" w:cs="Times New Roman"/>
          <w:kern w:val="24"/>
          <w:sz w:val="21"/>
          <w:szCs w:val="21"/>
        </w:rPr>
        <w:t>中标</w:t>
      </w:r>
      <w:bookmarkEnd w:id="1730"/>
      <w:bookmarkEnd w:id="1731"/>
      <w:bookmarkEnd w:id="1732"/>
      <w:bookmarkEnd w:id="1733"/>
      <w:r>
        <w:rPr>
          <w:rFonts w:hint="eastAsia" w:ascii="Times New Roman" w:hAnsi="Times New Roman" w:cs="Times New Roman"/>
          <w:kern w:val="24"/>
          <w:sz w:val="21"/>
          <w:szCs w:val="21"/>
        </w:rPr>
        <w:t>服务费执行原《招标代理服务收费管理暂行办法》（计价格</w:t>
      </w:r>
      <w:r>
        <w:rPr>
          <w:rFonts w:ascii="Times New Roman" w:hAnsi="Times New Roman" w:cs="Times New Roman"/>
          <w:kern w:val="24"/>
          <w:sz w:val="21"/>
          <w:szCs w:val="21"/>
        </w:rPr>
        <w:t>[2002]1980号文）、《国家发展改革委办公厅关于招标代理服务收费有关问题的通知》（发改办价格[2003]857号）及《国家发展改革委关于降低部分建设项目收费标准规范收费行为等有关问题的通知》（发改价格〔2011〕534号）的规定，根据中标金额按差额定率累进法计算后收取</w:t>
      </w:r>
      <w:bookmarkEnd w:id="1734"/>
      <w:bookmarkEnd w:id="1735"/>
      <w:r>
        <w:rPr>
          <w:rFonts w:hint="eastAsia" w:ascii="Times New Roman" w:hAnsi="Times New Roman" w:cs="Times New Roman"/>
          <w:kern w:val="24"/>
          <w:sz w:val="21"/>
          <w:szCs w:val="21"/>
        </w:rPr>
        <w:t>，计算中标服务费不足一万元的按一万元计取。</w:t>
      </w:r>
      <w:bookmarkEnd w:id="1736"/>
      <w:bookmarkEnd w:id="1737"/>
      <w:bookmarkEnd w:id="1738"/>
      <w:bookmarkEnd w:id="1739"/>
    </w:p>
    <w:p w14:paraId="5C38DABC">
      <w:pPr>
        <w:pStyle w:val="63"/>
        <w:numPr>
          <w:ilvl w:val="0"/>
          <w:numId w:val="8"/>
        </w:numPr>
        <w:spacing w:line="360" w:lineRule="auto"/>
        <w:ind w:firstLineChars="0"/>
        <w:outlineLvl w:val="0"/>
        <w:rPr>
          <w:rFonts w:ascii="Times New Roman" w:hAnsi="Times New Roman" w:cs="Times New Roman"/>
          <w:b/>
          <w:sz w:val="21"/>
          <w:szCs w:val="21"/>
        </w:rPr>
      </w:pPr>
      <w:bookmarkStart w:id="1740" w:name="_Toc4809"/>
      <w:bookmarkStart w:id="1741" w:name="_Toc15133"/>
      <w:r>
        <w:rPr>
          <w:rFonts w:hint="eastAsia" w:ascii="Times New Roman" w:hAnsi="Times New Roman" w:cs="Times New Roman"/>
          <w:b/>
          <w:sz w:val="21"/>
          <w:szCs w:val="21"/>
        </w:rPr>
        <w:t>资金来源</w:t>
      </w:r>
      <w:bookmarkEnd w:id="1740"/>
      <w:bookmarkEnd w:id="1741"/>
    </w:p>
    <w:p w14:paraId="5819E87E">
      <w:pPr>
        <w:pStyle w:val="63"/>
        <w:numPr>
          <w:ilvl w:val="1"/>
          <w:numId w:val="8"/>
        </w:numPr>
        <w:spacing w:line="360" w:lineRule="auto"/>
        <w:ind w:firstLineChars="0"/>
        <w:outlineLvl w:val="0"/>
        <w:rPr>
          <w:rFonts w:ascii="Times New Roman" w:hAnsi="Times New Roman" w:cs="Times New Roman"/>
          <w:bCs/>
          <w:sz w:val="21"/>
          <w:szCs w:val="21"/>
        </w:rPr>
      </w:pPr>
      <w:bookmarkStart w:id="1742" w:name="_Toc29644"/>
      <w:bookmarkStart w:id="1743" w:name="_Toc18272"/>
      <w:r>
        <w:rPr>
          <w:rFonts w:hint="eastAsia" w:ascii="Times New Roman" w:hAnsi="Times New Roman" w:cs="Times New Roman"/>
          <w:bCs/>
          <w:sz w:val="21"/>
          <w:szCs w:val="21"/>
        </w:rPr>
        <w:t>本项目中所述的招标人已经获得足以支付本次招标后所签订的合同项下的款项。</w:t>
      </w:r>
      <w:bookmarkEnd w:id="1742"/>
      <w:bookmarkEnd w:id="1743"/>
    </w:p>
    <w:p w14:paraId="6F2DA0A9">
      <w:pPr>
        <w:pStyle w:val="63"/>
        <w:numPr>
          <w:ilvl w:val="1"/>
          <w:numId w:val="8"/>
        </w:numPr>
        <w:spacing w:line="360" w:lineRule="auto"/>
        <w:ind w:firstLineChars="0"/>
        <w:outlineLvl w:val="0"/>
        <w:rPr>
          <w:rFonts w:ascii="Times New Roman" w:hAnsi="Times New Roman" w:cs="Times New Roman"/>
          <w:bCs/>
          <w:sz w:val="21"/>
          <w:szCs w:val="21"/>
        </w:rPr>
      </w:pPr>
      <w:bookmarkStart w:id="1744" w:name="_Toc26912"/>
      <w:bookmarkStart w:id="1745" w:name="_Toc1208"/>
      <w:r>
        <w:rPr>
          <w:rFonts w:hint="eastAsia" w:ascii="Times New Roman" w:hAnsi="Times New Roman" w:cs="Times New Roman"/>
          <w:bCs/>
          <w:sz w:val="21"/>
          <w:szCs w:val="21"/>
        </w:rPr>
        <w:t>招标人自筹。</w:t>
      </w:r>
      <w:bookmarkEnd w:id="1744"/>
      <w:bookmarkEnd w:id="1745"/>
    </w:p>
    <w:p w14:paraId="398999ED">
      <w:pPr>
        <w:pStyle w:val="63"/>
        <w:numPr>
          <w:ilvl w:val="0"/>
          <w:numId w:val="8"/>
        </w:numPr>
        <w:spacing w:line="360" w:lineRule="auto"/>
        <w:ind w:firstLineChars="0"/>
        <w:outlineLvl w:val="0"/>
        <w:rPr>
          <w:rFonts w:ascii="Times New Roman" w:hAnsi="Times New Roman" w:cs="Times New Roman"/>
          <w:b/>
          <w:bCs/>
          <w:sz w:val="21"/>
          <w:szCs w:val="21"/>
        </w:rPr>
      </w:pPr>
      <w:bookmarkStart w:id="1746" w:name="_Toc407613236"/>
      <w:bookmarkStart w:id="1747" w:name="_Toc13225568"/>
      <w:bookmarkStart w:id="1748" w:name="_Toc14520"/>
      <w:bookmarkStart w:id="1749" w:name="_Toc407612867"/>
      <w:bookmarkStart w:id="1750" w:name="_Toc17019"/>
      <w:bookmarkStart w:id="1751" w:name="_Toc164420888"/>
      <w:bookmarkStart w:id="1752" w:name="_Toc134728991"/>
      <w:bookmarkStart w:id="1753" w:name="_Toc15386336"/>
      <w:bookmarkStart w:id="1754" w:name="_Toc406595852"/>
      <w:bookmarkStart w:id="1755" w:name="_Toc535397662"/>
      <w:r>
        <w:rPr>
          <w:rFonts w:ascii="Times New Roman" w:hAnsi="Times New Roman" w:cs="Times New Roman"/>
          <w:b/>
          <w:bCs/>
          <w:sz w:val="21"/>
          <w:szCs w:val="21"/>
        </w:rPr>
        <w:t>招标文件的解释权</w:t>
      </w:r>
      <w:bookmarkEnd w:id="1746"/>
      <w:bookmarkEnd w:id="1747"/>
      <w:bookmarkEnd w:id="1748"/>
      <w:bookmarkEnd w:id="1749"/>
      <w:bookmarkEnd w:id="1750"/>
      <w:bookmarkEnd w:id="1751"/>
      <w:bookmarkEnd w:id="1752"/>
      <w:bookmarkEnd w:id="1753"/>
      <w:bookmarkEnd w:id="1754"/>
      <w:bookmarkEnd w:id="1755"/>
    </w:p>
    <w:p w14:paraId="5736444A">
      <w:pPr>
        <w:pStyle w:val="63"/>
        <w:numPr>
          <w:ilvl w:val="1"/>
          <w:numId w:val="8"/>
        </w:numPr>
        <w:spacing w:line="360" w:lineRule="auto"/>
        <w:ind w:firstLineChars="0"/>
        <w:outlineLvl w:val="0"/>
        <w:rPr>
          <w:rFonts w:ascii="Times New Roman" w:hAnsi="Times New Roman" w:cs="Times New Roman"/>
          <w:bCs/>
          <w:sz w:val="21"/>
          <w:szCs w:val="21"/>
        </w:rPr>
      </w:pPr>
      <w:bookmarkStart w:id="1756" w:name="_Toc407613237"/>
      <w:bookmarkStart w:id="1757" w:name="_Toc15386337"/>
      <w:bookmarkStart w:id="1758" w:name="_Toc24905"/>
      <w:bookmarkStart w:id="1759" w:name="_Toc406595853"/>
      <w:bookmarkStart w:id="1760" w:name="_Toc407612868"/>
      <w:bookmarkStart w:id="1761" w:name="_Toc164420889"/>
      <w:bookmarkStart w:id="1762" w:name="_Toc535397663"/>
      <w:bookmarkStart w:id="1763" w:name="_Toc17174"/>
      <w:bookmarkStart w:id="1764" w:name="_Toc134728992"/>
      <w:bookmarkStart w:id="1765" w:name="_Toc13225569"/>
      <w:r>
        <w:rPr>
          <w:rFonts w:ascii="Times New Roman" w:hAnsi="Times New Roman" w:cs="Times New Roman"/>
          <w:kern w:val="24"/>
          <w:sz w:val="21"/>
          <w:szCs w:val="21"/>
        </w:rPr>
        <w:t>本招标文件由招标人和招标代理机构负责解释。</w:t>
      </w:r>
      <w:bookmarkEnd w:id="1756"/>
      <w:bookmarkEnd w:id="1757"/>
      <w:bookmarkEnd w:id="1758"/>
      <w:bookmarkEnd w:id="1759"/>
      <w:bookmarkEnd w:id="1760"/>
      <w:bookmarkEnd w:id="1761"/>
      <w:bookmarkEnd w:id="1762"/>
      <w:bookmarkEnd w:id="1763"/>
      <w:bookmarkEnd w:id="1764"/>
      <w:bookmarkEnd w:id="1765"/>
    </w:p>
    <w:p w14:paraId="47617F17">
      <w:pPr>
        <w:spacing w:line="360" w:lineRule="auto"/>
        <w:ind w:firstLine="480" w:firstLineChars="200"/>
        <w:rPr>
          <w:rFonts w:ascii="Times New Roman" w:hAnsi="Times New Roman" w:cs="Times New Roman"/>
          <w:szCs w:val="21"/>
        </w:rPr>
        <w:sectPr>
          <w:pgSz w:w="11906" w:h="16838"/>
          <w:pgMar w:top="1440" w:right="1800" w:bottom="1440" w:left="1800" w:header="851" w:footer="992" w:gutter="0"/>
          <w:cols w:space="720" w:num="1"/>
          <w:docGrid w:type="lines" w:linePitch="312" w:charSpace="0"/>
        </w:sectPr>
      </w:pPr>
    </w:p>
    <w:p w14:paraId="6DB8E69E">
      <w:pPr>
        <w:pStyle w:val="15"/>
      </w:pPr>
    </w:p>
    <w:p w14:paraId="537B02A8">
      <w:pPr>
        <w:spacing w:line="360" w:lineRule="auto"/>
        <w:ind w:firstLine="480" w:firstLineChars="200"/>
        <w:rPr>
          <w:rFonts w:ascii="Times New Roman" w:hAnsi="Times New Roman" w:cs="Times New Roman"/>
          <w:szCs w:val="21"/>
        </w:rPr>
      </w:pPr>
    </w:p>
    <w:p w14:paraId="3D385B47">
      <w:pPr>
        <w:spacing w:line="360" w:lineRule="auto"/>
        <w:ind w:firstLine="480" w:firstLineChars="200"/>
        <w:rPr>
          <w:rFonts w:ascii="Times New Roman" w:hAnsi="Times New Roman" w:cs="Times New Roman"/>
          <w:szCs w:val="21"/>
        </w:rPr>
      </w:pPr>
    </w:p>
    <w:p w14:paraId="393FDB72">
      <w:pPr>
        <w:spacing w:line="360" w:lineRule="auto"/>
        <w:ind w:firstLine="480" w:firstLineChars="200"/>
        <w:rPr>
          <w:rFonts w:ascii="Times New Roman" w:hAnsi="Times New Roman" w:cs="Times New Roman"/>
          <w:szCs w:val="21"/>
        </w:rPr>
      </w:pPr>
    </w:p>
    <w:p w14:paraId="431761BC">
      <w:pPr>
        <w:spacing w:line="360" w:lineRule="auto"/>
        <w:ind w:firstLine="480" w:firstLineChars="200"/>
        <w:rPr>
          <w:rFonts w:ascii="Times New Roman" w:hAnsi="Times New Roman" w:cs="Times New Roman"/>
          <w:szCs w:val="21"/>
        </w:rPr>
      </w:pPr>
    </w:p>
    <w:p w14:paraId="2819E158">
      <w:pPr>
        <w:spacing w:line="360" w:lineRule="auto"/>
        <w:ind w:firstLine="480" w:firstLineChars="200"/>
        <w:rPr>
          <w:rFonts w:ascii="Times New Roman" w:hAnsi="Times New Roman" w:cs="Times New Roman"/>
          <w:szCs w:val="21"/>
        </w:rPr>
      </w:pPr>
    </w:p>
    <w:p w14:paraId="01895C9D">
      <w:pPr>
        <w:spacing w:line="360" w:lineRule="auto"/>
        <w:ind w:firstLine="480" w:firstLineChars="200"/>
        <w:rPr>
          <w:rFonts w:ascii="Times New Roman" w:hAnsi="Times New Roman" w:cs="Times New Roman"/>
          <w:szCs w:val="21"/>
        </w:rPr>
      </w:pPr>
    </w:p>
    <w:p w14:paraId="6C6FA457">
      <w:pPr>
        <w:pStyle w:val="29"/>
        <w:ind w:firstLine="210"/>
        <w:rPr>
          <w:rFonts w:cs="Times New Roman"/>
          <w:szCs w:val="21"/>
        </w:rPr>
      </w:pPr>
    </w:p>
    <w:p w14:paraId="68C64CB7">
      <w:pPr>
        <w:pStyle w:val="29"/>
        <w:ind w:firstLine="210"/>
        <w:rPr>
          <w:rFonts w:cs="Times New Roman"/>
          <w:szCs w:val="21"/>
        </w:rPr>
      </w:pPr>
    </w:p>
    <w:p w14:paraId="65C0B4BB">
      <w:pPr>
        <w:pStyle w:val="29"/>
        <w:ind w:firstLine="210"/>
        <w:rPr>
          <w:rFonts w:cs="Times New Roman"/>
          <w:szCs w:val="21"/>
        </w:rPr>
      </w:pPr>
    </w:p>
    <w:p w14:paraId="5A1B22D8">
      <w:pPr>
        <w:pStyle w:val="29"/>
        <w:ind w:firstLine="210"/>
        <w:rPr>
          <w:rFonts w:cs="Times New Roman"/>
          <w:szCs w:val="21"/>
        </w:rPr>
      </w:pPr>
    </w:p>
    <w:p w14:paraId="49A0E423">
      <w:pPr>
        <w:pStyle w:val="29"/>
        <w:ind w:firstLine="210"/>
        <w:rPr>
          <w:rFonts w:cs="Times New Roman"/>
          <w:szCs w:val="21"/>
        </w:rPr>
      </w:pPr>
    </w:p>
    <w:p w14:paraId="188787A4">
      <w:pPr>
        <w:spacing w:line="360" w:lineRule="auto"/>
        <w:ind w:firstLine="480" w:firstLineChars="200"/>
        <w:rPr>
          <w:rFonts w:ascii="Times New Roman" w:hAnsi="Times New Roman" w:cs="Times New Roman"/>
          <w:szCs w:val="21"/>
        </w:rPr>
      </w:pPr>
    </w:p>
    <w:p w14:paraId="20F3DF44">
      <w:pPr>
        <w:pStyle w:val="63"/>
        <w:numPr>
          <w:ilvl w:val="0"/>
          <w:numId w:val="4"/>
        </w:numPr>
        <w:spacing w:line="360" w:lineRule="auto"/>
        <w:ind w:left="1276" w:hanging="1276" w:firstLineChars="0"/>
        <w:jc w:val="center"/>
        <w:outlineLvl w:val="0"/>
        <w:rPr>
          <w:rFonts w:ascii="Times New Roman" w:hAnsi="Times New Roman" w:eastAsia="黑体" w:cs="Times New Roman"/>
          <w:b/>
          <w:sz w:val="44"/>
          <w:szCs w:val="44"/>
        </w:rPr>
      </w:pPr>
      <w:bookmarkStart w:id="1766" w:name="_Toc12592"/>
      <w:r>
        <w:rPr>
          <w:rFonts w:ascii="Times New Roman" w:hAnsi="Times New Roman" w:eastAsia="黑体" w:cs="Times New Roman"/>
          <w:b/>
          <w:sz w:val="44"/>
          <w:szCs w:val="44"/>
        </w:rPr>
        <w:t>合同主要条款</w:t>
      </w:r>
      <w:bookmarkEnd w:id="1766"/>
    </w:p>
    <w:p w14:paraId="1C79BB82">
      <w:pPr>
        <w:spacing w:line="360" w:lineRule="auto"/>
        <w:ind w:firstLine="480" w:firstLineChars="200"/>
        <w:rPr>
          <w:rFonts w:ascii="Times New Roman" w:hAnsi="Times New Roman" w:cs="Times New Roman"/>
          <w:szCs w:val="21"/>
        </w:rPr>
      </w:pPr>
    </w:p>
    <w:p w14:paraId="4EDEBFA6">
      <w:pPr>
        <w:spacing w:after="156" w:afterLines="50" w:line="360" w:lineRule="auto"/>
        <w:jc w:val="center"/>
        <w:rPr>
          <w:rFonts w:ascii="Times New Roman" w:hAnsi="Times New Roman"/>
          <w:szCs w:val="21"/>
        </w:rPr>
      </w:pPr>
      <w:r>
        <w:rPr>
          <w:rFonts w:ascii="Times New Roman" w:hAnsi="Times New Roman"/>
          <w:szCs w:val="21"/>
        </w:rPr>
        <w:br w:type="page"/>
      </w:r>
    </w:p>
    <w:p w14:paraId="70CC739F">
      <w:pPr>
        <w:spacing w:line="360" w:lineRule="auto"/>
        <w:jc w:val="center"/>
        <w:rPr>
          <w:rFonts w:hint="eastAsia"/>
          <w:b/>
          <w:sz w:val="36"/>
          <w:szCs w:val="36"/>
        </w:rPr>
      </w:pPr>
    </w:p>
    <w:p w14:paraId="71C488F7">
      <w:pPr>
        <w:spacing w:after="156" w:afterLines="50" w:line="360" w:lineRule="auto"/>
        <w:jc w:val="center"/>
        <w:rPr>
          <w:rFonts w:hint="eastAsia"/>
          <w:b/>
          <w:sz w:val="52"/>
          <w:szCs w:val="52"/>
        </w:rPr>
      </w:pPr>
      <w:r>
        <w:rPr>
          <w:rFonts w:hint="eastAsia"/>
          <w:b/>
          <w:sz w:val="52"/>
          <w:szCs w:val="52"/>
        </w:rPr>
        <w:t>中关村发展集团股份有限公司</w:t>
      </w:r>
    </w:p>
    <w:p w14:paraId="5D1F1484">
      <w:pPr>
        <w:spacing w:after="156" w:afterLines="50" w:line="360" w:lineRule="auto"/>
        <w:jc w:val="center"/>
        <w:rPr>
          <w:rFonts w:hint="eastAsia"/>
          <w:b/>
          <w:sz w:val="52"/>
          <w:szCs w:val="52"/>
        </w:rPr>
      </w:pPr>
      <w:r>
        <w:rPr>
          <w:rFonts w:hint="eastAsia"/>
          <w:b/>
          <w:sz w:val="52"/>
          <w:szCs w:val="52"/>
        </w:rPr>
        <w:t>采购合同</w:t>
      </w:r>
    </w:p>
    <w:p w14:paraId="0E017F8C">
      <w:pPr>
        <w:spacing w:line="360" w:lineRule="auto"/>
        <w:jc w:val="center"/>
        <w:rPr>
          <w:rFonts w:hint="eastAsia"/>
          <w:b/>
          <w:sz w:val="32"/>
        </w:rPr>
      </w:pPr>
    </w:p>
    <w:p w14:paraId="698AC52D">
      <w:pPr>
        <w:spacing w:line="360" w:lineRule="auto"/>
        <w:rPr>
          <w:rFonts w:hint="eastAsia"/>
          <w:b/>
          <w:sz w:val="72"/>
        </w:rPr>
      </w:pPr>
    </w:p>
    <w:p w14:paraId="53AF473C">
      <w:pPr>
        <w:spacing w:line="360" w:lineRule="auto"/>
        <w:rPr>
          <w:rFonts w:hint="eastAsia"/>
          <w:b/>
          <w:sz w:val="72"/>
        </w:rPr>
      </w:pPr>
    </w:p>
    <w:p w14:paraId="354782EC">
      <w:pPr>
        <w:spacing w:line="360" w:lineRule="auto"/>
        <w:rPr>
          <w:rFonts w:hint="eastAsia"/>
          <w:b/>
          <w:sz w:val="72"/>
        </w:rPr>
      </w:pPr>
    </w:p>
    <w:p w14:paraId="03E7E972">
      <w:pPr>
        <w:adjustRightInd w:val="0"/>
        <w:snapToGrid w:val="0"/>
        <w:spacing w:after="156" w:afterLines="50" w:line="360" w:lineRule="auto"/>
        <w:ind w:firstLine="301" w:firstLineChars="100"/>
        <w:rPr>
          <w:rFonts w:ascii="Verdana" w:hAnsi="Verdana"/>
          <w:bCs/>
          <w:color w:val="000000"/>
          <w:sz w:val="30"/>
          <w:u w:val="single"/>
        </w:rPr>
      </w:pPr>
      <w:r>
        <w:rPr>
          <w:rFonts w:hint="eastAsia" w:ascii="Verdana" w:hAnsi="Verdana"/>
          <w:b/>
          <w:color w:val="000000"/>
          <w:sz w:val="30"/>
        </w:rPr>
        <w:t>合同名称：</w:t>
      </w:r>
      <w:r>
        <w:rPr>
          <w:rFonts w:hint="eastAsia" w:ascii="Verdana" w:hAnsi="Verdana"/>
          <w:bCs/>
          <w:color w:val="000000"/>
          <w:sz w:val="30"/>
          <w:u w:val="single"/>
        </w:rPr>
        <w:t xml:space="preserve">                             </w:t>
      </w:r>
    </w:p>
    <w:p w14:paraId="1E980B7A">
      <w:pPr>
        <w:spacing w:after="156" w:afterLines="50" w:line="360" w:lineRule="auto"/>
        <w:ind w:firstLine="602" w:firstLineChars="200"/>
        <w:rPr>
          <w:rFonts w:ascii="Verdana" w:hAnsi="Verdana"/>
          <w:b/>
          <w:color w:val="000000"/>
          <w:sz w:val="30"/>
        </w:rPr>
      </w:pPr>
      <w:r>
        <w:rPr>
          <w:rFonts w:hint="eastAsia" w:ascii="Verdana" w:hAnsi="Verdana"/>
          <w:b/>
          <w:color w:val="000000"/>
          <w:sz w:val="30"/>
        </w:rPr>
        <w:t>委托人（甲方）：</w:t>
      </w:r>
      <w:r>
        <w:rPr>
          <w:rFonts w:hint="eastAsia" w:ascii="Verdana" w:hAnsi="Verdana"/>
          <w:bCs/>
          <w:color w:val="000000"/>
          <w:sz w:val="30"/>
          <w:u w:val="single"/>
        </w:rPr>
        <w:t xml:space="preserve"> 中关村发展集团股份有限公司     </w:t>
      </w:r>
    </w:p>
    <w:p w14:paraId="68B3A545">
      <w:pPr>
        <w:adjustRightInd w:val="0"/>
        <w:snapToGrid w:val="0"/>
        <w:spacing w:after="156" w:afterLines="50" w:line="360" w:lineRule="auto"/>
        <w:ind w:firstLine="602" w:firstLineChars="200"/>
        <w:rPr>
          <w:rFonts w:ascii="Verdana" w:hAnsi="Verdana"/>
          <w:b/>
          <w:color w:val="000000"/>
          <w:sz w:val="30"/>
        </w:rPr>
      </w:pPr>
      <w:r>
        <w:rPr>
          <w:rFonts w:hint="eastAsia" w:ascii="Verdana" w:hAnsi="Verdana"/>
          <w:b/>
          <w:color w:val="000000"/>
          <w:sz w:val="30"/>
        </w:rPr>
        <w:t>受托人（乙方）：</w:t>
      </w:r>
      <w:r>
        <w:rPr>
          <w:rFonts w:hint="eastAsia" w:ascii="Verdana" w:hAnsi="Verdana"/>
          <w:bCs/>
          <w:color w:val="000000"/>
          <w:sz w:val="30"/>
          <w:u w:val="single"/>
        </w:rPr>
        <w:t xml:space="preserve">                                </w:t>
      </w:r>
    </w:p>
    <w:p w14:paraId="7DBC5C58">
      <w:pPr>
        <w:spacing w:line="360" w:lineRule="auto"/>
        <w:rPr>
          <w:rFonts w:hint="eastAsia"/>
          <w:b/>
        </w:rPr>
      </w:pPr>
      <w:r>
        <w:rPr>
          <w:b/>
        </w:rPr>
        <w:br w:type="page"/>
      </w:r>
    </w:p>
    <w:p w14:paraId="4A33ECED">
      <w:pPr>
        <w:spacing w:line="396" w:lineRule="auto"/>
        <w:ind w:firstLine="480"/>
        <w:rPr>
          <w:rFonts w:hint="eastAsia" w:cs="仿宋_GB2312"/>
        </w:rPr>
      </w:pPr>
      <w:r>
        <w:rPr>
          <w:rFonts w:hint="eastAsia" w:cs="仿宋_GB2312"/>
        </w:rPr>
        <w:t>甲方：中关村发展集团股份有限公司</w:t>
      </w:r>
    </w:p>
    <w:p w14:paraId="53581FDF">
      <w:pPr>
        <w:spacing w:line="396" w:lineRule="auto"/>
        <w:ind w:firstLine="480"/>
        <w:rPr>
          <w:rFonts w:hint="eastAsia" w:cs="仿宋_GB2312"/>
        </w:rPr>
      </w:pPr>
      <w:r>
        <w:rPr>
          <w:rFonts w:hint="eastAsia" w:cs="仿宋_GB2312"/>
        </w:rPr>
        <w:t>办公地点：北京市海淀区西三环北路甲2号院7号楼10-14层</w:t>
      </w:r>
      <w:r>
        <w:rPr>
          <w:rFonts w:cs="仿宋_GB2312"/>
        </w:rPr>
        <w:t xml:space="preserve"> </w:t>
      </w:r>
    </w:p>
    <w:p w14:paraId="2EEB9AAF">
      <w:pPr>
        <w:spacing w:line="396" w:lineRule="auto"/>
        <w:ind w:firstLine="480"/>
        <w:rPr>
          <w:rFonts w:hint="eastAsia" w:cs="仿宋_GB2312"/>
        </w:rPr>
      </w:pPr>
      <w:r>
        <w:rPr>
          <w:rFonts w:cs="仿宋_GB2312"/>
        </w:rPr>
        <w:t>联系人</w:t>
      </w:r>
      <w:r>
        <w:rPr>
          <w:rFonts w:hint="eastAsia" w:cs="仿宋_GB2312"/>
        </w:rPr>
        <w:t xml:space="preserve">： </w:t>
      </w:r>
    </w:p>
    <w:p w14:paraId="2A75580E">
      <w:pPr>
        <w:spacing w:line="396" w:lineRule="auto"/>
        <w:ind w:firstLine="480"/>
        <w:rPr>
          <w:rFonts w:hint="eastAsia" w:cs="仿宋_GB2312"/>
        </w:rPr>
      </w:pPr>
      <w:r>
        <w:rPr>
          <w:rFonts w:cs="仿宋_GB2312"/>
        </w:rPr>
        <w:t>联系方式</w:t>
      </w:r>
      <w:r>
        <w:rPr>
          <w:rFonts w:hint="eastAsia" w:cs="仿宋_GB2312"/>
        </w:rPr>
        <w:t xml:space="preserve">： </w:t>
      </w:r>
    </w:p>
    <w:p w14:paraId="1E2B8B8C">
      <w:pPr>
        <w:spacing w:line="396" w:lineRule="auto"/>
        <w:ind w:firstLine="480"/>
        <w:rPr>
          <w:rFonts w:hint="eastAsia" w:cs="仿宋_GB2312"/>
        </w:rPr>
      </w:pPr>
      <w:r>
        <w:rPr>
          <w:rFonts w:hint="eastAsia" w:cs="仿宋_GB2312"/>
        </w:rPr>
        <w:t xml:space="preserve">乙方： </w:t>
      </w:r>
    </w:p>
    <w:p w14:paraId="56C1955E">
      <w:pPr>
        <w:spacing w:line="396" w:lineRule="auto"/>
        <w:ind w:firstLine="480"/>
        <w:rPr>
          <w:rFonts w:hint="eastAsia" w:cs="仿宋_GB2312"/>
        </w:rPr>
      </w:pPr>
      <w:r>
        <w:rPr>
          <w:rFonts w:hint="eastAsia" w:cs="仿宋_GB2312"/>
        </w:rPr>
        <w:t xml:space="preserve">办公地点： </w:t>
      </w:r>
    </w:p>
    <w:p w14:paraId="097FDD4C">
      <w:pPr>
        <w:spacing w:line="396" w:lineRule="auto"/>
        <w:ind w:firstLine="480"/>
        <w:rPr>
          <w:rFonts w:hint="eastAsia" w:cs="仿宋_GB2312"/>
        </w:rPr>
      </w:pPr>
      <w:r>
        <w:rPr>
          <w:rFonts w:hint="eastAsia" w:cs="仿宋_GB2312"/>
        </w:rPr>
        <w:t xml:space="preserve">联系人： </w:t>
      </w:r>
    </w:p>
    <w:p w14:paraId="304C0FB9">
      <w:pPr>
        <w:spacing w:line="396" w:lineRule="auto"/>
        <w:ind w:firstLine="480"/>
        <w:rPr>
          <w:rFonts w:hint="eastAsia" w:cs="仿宋_GB2312"/>
        </w:rPr>
      </w:pPr>
      <w:r>
        <w:rPr>
          <w:rFonts w:hint="eastAsia" w:cs="仿宋_GB2312"/>
        </w:rPr>
        <w:t xml:space="preserve">联系方式： </w:t>
      </w:r>
    </w:p>
    <w:p w14:paraId="2FB8F54E">
      <w:pPr>
        <w:spacing w:line="396" w:lineRule="auto"/>
        <w:ind w:firstLine="480"/>
        <w:rPr>
          <w:rFonts w:hint="eastAsia"/>
        </w:rPr>
      </w:pPr>
      <w:r>
        <w:rPr>
          <w:rFonts w:hint="eastAsia" w:cs="仿宋_GB2312"/>
        </w:rPr>
        <w:t>根据</w:t>
      </w:r>
      <w:r>
        <w:rPr>
          <w:rFonts w:hint="eastAsia"/>
        </w:rPr>
        <w:t xml:space="preserve">《中华人民共和国民法典》的规定，本着诚实信用、平等互利的原则，甲乙双方就 </w:t>
      </w:r>
      <w:r>
        <w:rPr>
          <w:rFonts w:hint="eastAsia"/>
          <w:u w:val="single"/>
        </w:rPr>
        <w:t xml:space="preserve">                     </w:t>
      </w:r>
      <w:r>
        <w:rPr>
          <w:rFonts w:hint="eastAsia"/>
        </w:rPr>
        <w:t>进行沟通，经协商一致签订本合同。</w:t>
      </w:r>
    </w:p>
    <w:p w14:paraId="3AB2DBCB">
      <w:pPr>
        <w:spacing w:line="336" w:lineRule="auto"/>
        <w:ind w:firstLine="482" w:firstLineChars="200"/>
        <w:rPr>
          <w:rFonts w:hint="eastAsia"/>
          <w:b/>
          <w:bCs/>
        </w:rPr>
      </w:pPr>
      <w:r>
        <w:rPr>
          <w:rFonts w:hint="eastAsia"/>
          <w:b/>
          <w:bCs/>
        </w:rPr>
        <w:t>第一条：项目内容</w:t>
      </w:r>
    </w:p>
    <w:p w14:paraId="0AC29A10">
      <w:pPr>
        <w:spacing w:line="336" w:lineRule="auto"/>
        <w:ind w:firstLine="480" w:firstLineChars="200"/>
        <w:rPr>
          <w:rFonts w:hint="eastAsia"/>
        </w:rPr>
      </w:pPr>
      <w:r>
        <w:t>1、项目名称：</w:t>
      </w:r>
      <w:r>
        <w:rPr>
          <w:rFonts w:hint="eastAsia"/>
          <w:u w:val="single"/>
        </w:rPr>
        <w:t xml:space="preserve">                    </w:t>
      </w:r>
    </w:p>
    <w:p w14:paraId="29D23E2D">
      <w:pPr>
        <w:pStyle w:val="63"/>
        <w:spacing w:line="360" w:lineRule="auto"/>
        <w:ind w:firstLine="480"/>
        <w:rPr>
          <w:rFonts w:hint="eastAsia" w:cs="Times New Roman"/>
        </w:rPr>
      </w:pPr>
      <w:r>
        <w:rPr>
          <w:rFonts w:cs="Times New Roman"/>
        </w:rPr>
        <w:t>2、项目内容：</w:t>
      </w:r>
    </w:p>
    <w:p w14:paraId="71874966">
      <w:pPr>
        <w:adjustRightInd w:val="0"/>
        <w:snapToGrid w:val="0"/>
        <w:spacing w:line="360" w:lineRule="auto"/>
        <w:ind w:firstLine="480" w:firstLineChars="200"/>
        <w:rPr>
          <w:rFonts w:hint="eastAsia"/>
        </w:rPr>
      </w:pPr>
      <w:r>
        <w:rPr>
          <w:rFonts w:hint="eastAsia" w:cs="仿宋"/>
          <w:color w:val="000000"/>
        </w:rPr>
        <w:t>本项目包含</w:t>
      </w:r>
      <w:r>
        <w:rPr>
          <w:rFonts w:hint="eastAsia" w:cs="仿宋"/>
          <w:color w:val="000000"/>
          <w:u w:val="single"/>
        </w:rPr>
        <w:t>产品（以下简称“采购部分”）</w:t>
      </w:r>
      <w:r>
        <w:rPr>
          <w:rFonts w:hint="eastAsia" w:cs="仿宋"/>
          <w:color w:val="000000"/>
        </w:rPr>
        <w:t>和</w:t>
      </w:r>
      <w:r>
        <w:rPr>
          <w:rFonts w:hint="eastAsia" w:cs="仿宋"/>
          <w:color w:val="000000"/>
          <w:u w:val="single"/>
        </w:rPr>
        <w:t>服务（以下简称“服务部分”）采购</w:t>
      </w:r>
      <w:r>
        <w:rPr>
          <w:rFonts w:hint="eastAsia" w:cs="仿宋"/>
          <w:color w:val="000000"/>
        </w:rPr>
        <w:t>两部分</w:t>
      </w:r>
      <w:r>
        <w:rPr>
          <w:rFonts w:hint="eastAsia"/>
        </w:rPr>
        <w:t>。</w:t>
      </w:r>
    </w:p>
    <w:tbl>
      <w:tblPr>
        <w:tblStyle w:val="31"/>
        <w:tblpPr w:leftFromText="180" w:rightFromText="180" w:vertAnchor="text" w:horzAnchor="margin" w:tblpXSpec="center" w:tblpY="25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949"/>
        <w:gridCol w:w="946"/>
        <w:gridCol w:w="1508"/>
        <w:gridCol w:w="1764"/>
        <w:gridCol w:w="1938"/>
      </w:tblGrid>
      <w:tr w14:paraId="5DE9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0" w:type="pct"/>
            <w:shd w:val="clear" w:color="auto" w:fill="auto"/>
            <w:vAlign w:val="center"/>
          </w:tcPr>
          <w:p w14:paraId="4A4B703D">
            <w:pPr>
              <w:jc w:val="center"/>
              <w:textAlignment w:val="center"/>
              <w:rPr>
                <w:rFonts w:hint="eastAsia" w:ascii="仿宋" w:hAnsi="仿宋" w:eastAsia="仿宋"/>
                <w:color w:val="000000"/>
                <w:lang w:bidi="ar"/>
              </w:rPr>
            </w:pPr>
            <w:r>
              <w:rPr>
                <w:rFonts w:hint="eastAsia" w:ascii="仿宋" w:hAnsi="仿宋" w:eastAsia="仿宋"/>
                <w:color w:val="000000"/>
                <w:lang w:bidi="ar"/>
              </w:rPr>
              <w:t>产品名称</w:t>
            </w:r>
          </w:p>
        </w:tc>
        <w:tc>
          <w:tcPr>
            <w:tcW w:w="557" w:type="pct"/>
            <w:shd w:val="clear" w:color="auto" w:fill="auto"/>
            <w:vAlign w:val="center"/>
          </w:tcPr>
          <w:p w14:paraId="0961C553">
            <w:pPr>
              <w:jc w:val="center"/>
              <w:textAlignment w:val="center"/>
              <w:rPr>
                <w:rFonts w:hint="eastAsia" w:ascii="仿宋" w:hAnsi="仿宋" w:eastAsia="仿宋"/>
                <w:color w:val="000000"/>
                <w:lang w:bidi="ar"/>
              </w:rPr>
            </w:pPr>
            <w:r>
              <w:rPr>
                <w:rFonts w:hint="eastAsia" w:ascii="仿宋" w:hAnsi="仿宋" w:eastAsia="仿宋"/>
                <w:color w:val="000000"/>
                <w:lang w:bidi="ar"/>
              </w:rPr>
              <w:t>数量</w:t>
            </w:r>
          </w:p>
        </w:tc>
        <w:tc>
          <w:tcPr>
            <w:tcW w:w="555" w:type="pct"/>
            <w:shd w:val="clear" w:color="auto" w:fill="auto"/>
            <w:vAlign w:val="center"/>
          </w:tcPr>
          <w:p w14:paraId="3515DD8A">
            <w:pPr>
              <w:jc w:val="center"/>
              <w:textAlignment w:val="center"/>
              <w:rPr>
                <w:rFonts w:hint="eastAsia" w:ascii="仿宋" w:hAnsi="仿宋" w:eastAsia="仿宋"/>
                <w:color w:val="000000"/>
                <w:lang w:bidi="ar"/>
              </w:rPr>
            </w:pPr>
            <w:r>
              <w:rPr>
                <w:rFonts w:hint="eastAsia" w:ascii="仿宋" w:hAnsi="仿宋" w:eastAsia="仿宋"/>
                <w:color w:val="000000"/>
                <w:lang w:bidi="ar"/>
              </w:rPr>
              <w:t>单位</w:t>
            </w:r>
          </w:p>
        </w:tc>
        <w:tc>
          <w:tcPr>
            <w:tcW w:w="885" w:type="pct"/>
            <w:shd w:val="clear" w:color="auto" w:fill="auto"/>
            <w:vAlign w:val="center"/>
          </w:tcPr>
          <w:p w14:paraId="695A2FA3">
            <w:pPr>
              <w:jc w:val="center"/>
              <w:textAlignment w:val="center"/>
              <w:rPr>
                <w:rFonts w:hint="eastAsia" w:ascii="仿宋" w:hAnsi="仿宋" w:eastAsia="仿宋"/>
                <w:color w:val="000000"/>
                <w:lang w:bidi="ar"/>
              </w:rPr>
            </w:pPr>
            <w:r>
              <w:rPr>
                <w:rFonts w:hint="eastAsia" w:ascii="仿宋" w:hAnsi="仿宋" w:eastAsia="仿宋"/>
                <w:color w:val="000000"/>
                <w:lang w:bidi="ar"/>
              </w:rPr>
              <w:t>单价（元）</w:t>
            </w:r>
          </w:p>
        </w:tc>
        <w:tc>
          <w:tcPr>
            <w:tcW w:w="1035" w:type="pct"/>
            <w:shd w:val="clear" w:color="auto" w:fill="auto"/>
            <w:vAlign w:val="center"/>
          </w:tcPr>
          <w:p w14:paraId="4AC844D7">
            <w:pPr>
              <w:jc w:val="center"/>
              <w:textAlignment w:val="center"/>
              <w:rPr>
                <w:rFonts w:hint="eastAsia" w:ascii="仿宋" w:hAnsi="仿宋" w:eastAsia="仿宋"/>
                <w:color w:val="000000"/>
                <w:lang w:bidi="ar"/>
              </w:rPr>
            </w:pPr>
            <w:r>
              <w:rPr>
                <w:rFonts w:hint="eastAsia" w:ascii="仿宋" w:hAnsi="仿宋" w:eastAsia="仿宋"/>
                <w:color w:val="000000"/>
                <w:lang w:bidi="ar"/>
              </w:rPr>
              <w:t>总价（元）</w:t>
            </w:r>
          </w:p>
        </w:tc>
        <w:tc>
          <w:tcPr>
            <w:tcW w:w="1135" w:type="pct"/>
            <w:shd w:val="clear" w:color="auto" w:fill="auto"/>
            <w:vAlign w:val="center"/>
          </w:tcPr>
          <w:p w14:paraId="11EE68BC">
            <w:pPr>
              <w:jc w:val="both"/>
              <w:textAlignment w:val="center"/>
              <w:rPr>
                <w:rFonts w:hint="eastAsia" w:ascii="仿宋" w:hAnsi="仿宋" w:eastAsia="仿宋"/>
                <w:color w:val="000000"/>
                <w:lang w:bidi="ar"/>
              </w:rPr>
            </w:pPr>
            <w:r>
              <w:rPr>
                <w:rFonts w:hint="eastAsia" w:ascii="仿宋" w:hAnsi="仿宋" w:eastAsia="仿宋"/>
                <w:color w:val="000000"/>
                <w:lang w:bidi="ar"/>
              </w:rPr>
              <w:t>产品规格参数</w:t>
            </w:r>
          </w:p>
        </w:tc>
      </w:tr>
      <w:tr w14:paraId="1456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pct"/>
            <w:shd w:val="clear" w:color="auto" w:fill="auto"/>
            <w:vAlign w:val="center"/>
          </w:tcPr>
          <w:p w14:paraId="58F02111">
            <w:pPr>
              <w:textAlignment w:val="center"/>
              <w:rPr>
                <w:rFonts w:hint="eastAsia" w:ascii="仿宋" w:hAnsi="仿宋" w:eastAsia="仿宋"/>
                <w:color w:val="000000"/>
                <w:lang w:bidi="ar"/>
              </w:rPr>
            </w:pPr>
          </w:p>
        </w:tc>
        <w:tc>
          <w:tcPr>
            <w:tcW w:w="557" w:type="pct"/>
            <w:shd w:val="clear" w:color="auto" w:fill="auto"/>
            <w:vAlign w:val="center"/>
          </w:tcPr>
          <w:p w14:paraId="5DD85191">
            <w:pPr>
              <w:jc w:val="center"/>
              <w:textAlignment w:val="center"/>
              <w:rPr>
                <w:rFonts w:hint="eastAsia" w:ascii="仿宋" w:hAnsi="仿宋" w:eastAsia="仿宋"/>
                <w:color w:val="000000"/>
                <w:lang w:bidi="ar"/>
              </w:rPr>
            </w:pPr>
          </w:p>
        </w:tc>
        <w:tc>
          <w:tcPr>
            <w:tcW w:w="555" w:type="pct"/>
            <w:shd w:val="clear" w:color="auto" w:fill="auto"/>
            <w:vAlign w:val="center"/>
          </w:tcPr>
          <w:p w14:paraId="211C4441">
            <w:pPr>
              <w:jc w:val="center"/>
              <w:textAlignment w:val="center"/>
              <w:rPr>
                <w:rFonts w:hint="eastAsia" w:ascii="仿宋" w:hAnsi="仿宋" w:eastAsia="仿宋"/>
                <w:color w:val="000000"/>
                <w:lang w:bidi="ar"/>
              </w:rPr>
            </w:pPr>
          </w:p>
        </w:tc>
        <w:tc>
          <w:tcPr>
            <w:tcW w:w="885" w:type="pct"/>
            <w:shd w:val="clear" w:color="auto" w:fill="auto"/>
            <w:vAlign w:val="center"/>
          </w:tcPr>
          <w:p w14:paraId="4CC8B916">
            <w:pPr>
              <w:jc w:val="center"/>
              <w:textAlignment w:val="center"/>
              <w:rPr>
                <w:rFonts w:hint="eastAsia" w:ascii="仿宋" w:hAnsi="仿宋" w:eastAsia="仿宋"/>
                <w:color w:val="000000"/>
                <w:lang w:bidi="ar"/>
              </w:rPr>
            </w:pPr>
          </w:p>
        </w:tc>
        <w:tc>
          <w:tcPr>
            <w:tcW w:w="1035" w:type="pct"/>
            <w:shd w:val="clear" w:color="auto" w:fill="auto"/>
            <w:vAlign w:val="center"/>
          </w:tcPr>
          <w:p w14:paraId="6F6B6E97">
            <w:pPr>
              <w:jc w:val="center"/>
              <w:textAlignment w:val="center"/>
              <w:rPr>
                <w:rFonts w:hint="eastAsia" w:ascii="仿宋" w:hAnsi="仿宋" w:eastAsia="仿宋"/>
                <w:color w:val="000000"/>
                <w:lang w:bidi="ar"/>
              </w:rPr>
            </w:pPr>
          </w:p>
        </w:tc>
        <w:tc>
          <w:tcPr>
            <w:tcW w:w="1135" w:type="pct"/>
            <w:shd w:val="clear" w:color="auto" w:fill="auto"/>
            <w:vAlign w:val="center"/>
          </w:tcPr>
          <w:p w14:paraId="20A6F29F">
            <w:pPr>
              <w:textAlignment w:val="center"/>
              <w:rPr>
                <w:rFonts w:hint="eastAsia" w:ascii="仿宋" w:hAnsi="仿宋" w:eastAsia="仿宋"/>
                <w:color w:val="000000"/>
                <w:lang w:bidi="ar"/>
              </w:rPr>
            </w:pPr>
          </w:p>
        </w:tc>
      </w:tr>
      <w:tr w14:paraId="0652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30" w:type="pct"/>
            <w:shd w:val="clear" w:color="auto" w:fill="auto"/>
            <w:vAlign w:val="center"/>
          </w:tcPr>
          <w:p w14:paraId="70DBC3F7">
            <w:pPr>
              <w:textAlignment w:val="center"/>
              <w:rPr>
                <w:rFonts w:hint="eastAsia" w:ascii="仿宋" w:hAnsi="仿宋" w:eastAsia="仿宋"/>
                <w:color w:val="000000"/>
                <w:lang w:bidi="ar"/>
              </w:rPr>
            </w:pPr>
          </w:p>
        </w:tc>
        <w:tc>
          <w:tcPr>
            <w:tcW w:w="557" w:type="pct"/>
            <w:shd w:val="clear" w:color="auto" w:fill="auto"/>
            <w:vAlign w:val="center"/>
          </w:tcPr>
          <w:p w14:paraId="0CF8BA0A">
            <w:pPr>
              <w:jc w:val="center"/>
              <w:textAlignment w:val="center"/>
              <w:rPr>
                <w:rFonts w:hint="eastAsia" w:ascii="仿宋" w:hAnsi="仿宋" w:eastAsia="仿宋"/>
                <w:color w:val="000000"/>
                <w:lang w:bidi="ar"/>
              </w:rPr>
            </w:pPr>
          </w:p>
        </w:tc>
        <w:tc>
          <w:tcPr>
            <w:tcW w:w="555" w:type="pct"/>
            <w:shd w:val="clear" w:color="auto" w:fill="auto"/>
            <w:vAlign w:val="center"/>
          </w:tcPr>
          <w:p w14:paraId="1A83CA77">
            <w:pPr>
              <w:jc w:val="center"/>
              <w:textAlignment w:val="center"/>
              <w:rPr>
                <w:rFonts w:hint="eastAsia" w:ascii="仿宋" w:hAnsi="仿宋" w:eastAsia="仿宋"/>
                <w:color w:val="000000"/>
                <w:lang w:bidi="ar"/>
              </w:rPr>
            </w:pPr>
          </w:p>
        </w:tc>
        <w:tc>
          <w:tcPr>
            <w:tcW w:w="885" w:type="pct"/>
            <w:shd w:val="clear" w:color="auto" w:fill="auto"/>
            <w:vAlign w:val="center"/>
          </w:tcPr>
          <w:p w14:paraId="57CD43C4">
            <w:pPr>
              <w:jc w:val="center"/>
              <w:textAlignment w:val="center"/>
              <w:rPr>
                <w:rFonts w:hint="eastAsia" w:ascii="仿宋" w:hAnsi="仿宋" w:eastAsia="仿宋"/>
                <w:color w:val="000000"/>
                <w:lang w:bidi="ar"/>
              </w:rPr>
            </w:pPr>
          </w:p>
        </w:tc>
        <w:tc>
          <w:tcPr>
            <w:tcW w:w="1035" w:type="pct"/>
            <w:shd w:val="clear" w:color="auto" w:fill="auto"/>
            <w:vAlign w:val="center"/>
          </w:tcPr>
          <w:p w14:paraId="675AB537">
            <w:pPr>
              <w:jc w:val="center"/>
              <w:textAlignment w:val="center"/>
              <w:rPr>
                <w:rFonts w:hint="eastAsia" w:ascii="仿宋" w:hAnsi="仿宋" w:eastAsia="仿宋"/>
                <w:color w:val="000000"/>
                <w:lang w:bidi="ar"/>
              </w:rPr>
            </w:pPr>
          </w:p>
        </w:tc>
        <w:tc>
          <w:tcPr>
            <w:tcW w:w="1135" w:type="pct"/>
            <w:shd w:val="clear" w:color="auto" w:fill="auto"/>
            <w:vAlign w:val="center"/>
          </w:tcPr>
          <w:p w14:paraId="5D56C6CA">
            <w:pPr>
              <w:textAlignment w:val="center"/>
              <w:rPr>
                <w:rFonts w:hint="eastAsia" w:ascii="仿宋" w:hAnsi="仿宋" w:eastAsia="仿宋"/>
                <w:color w:val="000000"/>
                <w:lang w:bidi="ar"/>
              </w:rPr>
            </w:pPr>
          </w:p>
        </w:tc>
      </w:tr>
      <w:tr w14:paraId="6697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30" w:type="pct"/>
            <w:shd w:val="clear" w:color="auto" w:fill="auto"/>
            <w:vAlign w:val="center"/>
          </w:tcPr>
          <w:p w14:paraId="79207B04">
            <w:pPr>
              <w:jc w:val="center"/>
              <w:textAlignment w:val="center"/>
              <w:rPr>
                <w:rFonts w:hint="eastAsia" w:ascii="仿宋" w:hAnsi="仿宋" w:eastAsia="仿宋"/>
                <w:color w:val="000000"/>
                <w:lang w:bidi="ar"/>
              </w:rPr>
            </w:pPr>
            <w:r>
              <w:rPr>
                <w:rFonts w:hint="eastAsia" w:ascii="仿宋" w:hAnsi="仿宋" w:eastAsia="仿宋"/>
                <w:color w:val="000000"/>
                <w:lang w:bidi="ar"/>
              </w:rPr>
              <w:t>费用合计</w:t>
            </w:r>
          </w:p>
        </w:tc>
        <w:tc>
          <w:tcPr>
            <w:tcW w:w="4169" w:type="pct"/>
            <w:gridSpan w:val="5"/>
            <w:shd w:val="clear" w:color="auto" w:fill="auto"/>
            <w:vAlign w:val="center"/>
          </w:tcPr>
          <w:p w14:paraId="3CD931B1">
            <w:pPr>
              <w:jc w:val="center"/>
              <w:textAlignment w:val="center"/>
              <w:rPr>
                <w:rFonts w:hint="eastAsia" w:ascii="仿宋" w:hAnsi="仿宋" w:eastAsia="仿宋"/>
                <w:color w:val="000000"/>
                <w:lang w:bidi="ar"/>
              </w:rPr>
            </w:pPr>
          </w:p>
        </w:tc>
      </w:tr>
    </w:tbl>
    <w:p w14:paraId="77C2DC3E">
      <w:pPr>
        <w:pStyle w:val="63"/>
        <w:spacing w:line="360" w:lineRule="auto"/>
        <w:ind w:firstLine="0" w:firstLineChars="0"/>
        <w:rPr>
          <w:rFonts w:hint="eastAsia" w:cs="Times New Roman"/>
        </w:rPr>
      </w:pPr>
      <w:r>
        <w:rPr>
          <w:rFonts w:hint="eastAsia" w:cs="Times New Roman"/>
        </w:rPr>
        <w:t>服务清单如下（单位：人民币元）</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683"/>
        <w:gridCol w:w="913"/>
        <w:gridCol w:w="1471"/>
        <w:gridCol w:w="1341"/>
        <w:gridCol w:w="2918"/>
      </w:tblGrid>
      <w:tr w14:paraId="03FE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pct"/>
            <w:shd w:val="clear" w:color="auto" w:fill="auto"/>
            <w:vAlign w:val="center"/>
          </w:tcPr>
          <w:p w14:paraId="59C8352E">
            <w:pPr>
              <w:textAlignment w:val="center"/>
              <w:rPr>
                <w:rFonts w:hint="eastAsia" w:ascii="仿宋" w:hAnsi="仿宋" w:eastAsia="仿宋" w:cs="仿宋"/>
                <w:color w:val="000000"/>
                <w:lang w:bidi="ar"/>
              </w:rPr>
            </w:pPr>
            <w:r>
              <w:rPr>
                <w:rFonts w:hint="eastAsia" w:ascii="仿宋" w:hAnsi="仿宋" w:eastAsia="仿宋" w:cs="仿宋"/>
                <w:color w:val="000000"/>
                <w:lang w:bidi="ar"/>
              </w:rPr>
              <w:t>服务名称</w:t>
            </w:r>
          </w:p>
        </w:tc>
        <w:tc>
          <w:tcPr>
            <w:tcW w:w="401" w:type="pct"/>
            <w:shd w:val="clear" w:color="auto" w:fill="auto"/>
            <w:vAlign w:val="center"/>
          </w:tcPr>
          <w:p w14:paraId="746477C6">
            <w:pPr>
              <w:textAlignment w:val="center"/>
              <w:rPr>
                <w:rFonts w:hint="eastAsia" w:ascii="仿宋" w:hAnsi="仿宋" w:eastAsia="仿宋" w:cs="仿宋"/>
                <w:color w:val="000000"/>
                <w:lang w:bidi="ar"/>
              </w:rPr>
            </w:pPr>
            <w:r>
              <w:rPr>
                <w:rFonts w:hint="eastAsia" w:ascii="仿宋" w:hAnsi="仿宋" w:eastAsia="仿宋" w:cs="仿宋"/>
                <w:color w:val="000000"/>
                <w:lang w:bidi="ar"/>
              </w:rPr>
              <w:t>数量</w:t>
            </w:r>
          </w:p>
        </w:tc>
        <w:tc>
          <w:tcPr>
            <w:tcW w:w="536" w:type="pct"/>
            <w:shd w:val="clear" w:color="auto" w:fill="auto"/>
            <w:vAlign w:val="center"/>
          </w:tcPr>
          <w:p w14:paraId="79E2DB4F">
            <w:pPr>
              <w:textAlignment w:val="center"/>
              <w:rPr>
                <w:rFonts w:hint="eastAsia" w:ascii="仿宋" w:hAnsi="仿宋" w:eastAsia="仿宋" w:cs="仿宋"/>
                <w:color w:val="000000"/>
                <w:lang w:bidi="ar"/>
              </w:rPr>
            </w:pPr>
            <w:r>
              <w:rPr>
                <w:rFonts w:hint="eastAsia" w:ascii="仿宋" w:hAnsi="仿宋" w:eastAsia="仿宋" w:cs="仿宋"/>
                <w:color w:val="000000"/>
                <w:lang w:bidi="ar"/>
              </w:rPr>
              <w:t>单位</w:t>
            </w:r>
          </w:p>
        </w:tc>
        <w:tc>
          <w:tcPr>
            <w:tcW w:w="863" w:type="pct"/>
            <w:shd w:val="clear" w:color="auto" w:fill="auto"/>
            <w:vAlign w:val="center"/>
          </w:tcPr>
          <w:p w14:paraId="21FE9D2F">
            <w:pPr>
              <w:textAlignment w:val="center"/>
              <w:rPr>
                <w:rFonts w:hint="eastAsia" w:ascii="仿宋" w:hAnsi="仿宋" w:eastAsia="仿宋" w:cs="仿宋"/>
                <w:color w:val="000000"/>
                <w:lang w:bidi="ar"/>
              </w:rPr>
            </w:pPr>
            <w:r>
              <w:rPr>
                <w:rFonts w:hint="eastAsia" w:ascii="仿宋" w:hAnsi="仿宋" w:eastAsia="仿宋" w:cs="仿宋"/>
                <w:color w:val="000000"/>
                <w:lang w:bidi="ar"/>
              </w:rPr>
              <w:t>单价（元）</w:t>
            </w:r>
          </w:p>
        </w:tc>
        <w:tc>
          <w:tcPr>
            <w:tcW w:w="787" w:type="pct"/>
            <w:shd w:val="clear" w:color="auto" w:fill="auto"/>
            <w:vAlign w:val="center"/>
          </w:tcPr>
          <w:p w14:paraId="79A76BF7">
            <w:pPr>
              <w:textAlignment w:val="center"/>
              <w:rPr>
                <w:rFonts w:hint="eastAsia" w:ascii="仿宋" w:hAnsi="仿宋" w:eastAsia="仿宋" w:cs="仿宋"/>
                <w:color w:val="000000"/>
                <w:lang w:bidi="ar"/>
              </w:rPr>
            </w:pPr>
            <w:r>
              <w:rPr>
                <w:rFonts w:hint="eastAsia" w:ascii="仿宋" w:hAnsi="仿宋" w:eastAsia="仿宋" w:cs="仿宋"/>
                <w:color w:val="000000"/>
                <w:lang w:bidi="ar"/>
              </w:rPr>
              <w:t>总价（元）</w:t>
            </w:r>
          </w:p>
        </w:tc>
        <w:tc>
          <w:tcPr>
            <w:tcW w:w="1711" w:type="pct"/>
            <w:shd w:val="clear" w:color="auto" w:fill="auto"/>
            <w:vAlign w:val="center"/>
          </w:tcPr>
          <w:p w14:paraId="6671EEBD">
            <w:pPr>
              <w:textAlignment w:val="center"/>
              <w:rPr>
                <w:rFonts w:hint="eastAsia" w:ascii="仿宋" w:hAnsi="仿宋" w:eastAsia="仿宋" w:cs="仿宋"/>
                <w:color w:val="000000"/>
                <w:lang w:bidi="ar"/>
              </w:rPr>
            </w:pPr>
            <w:r>
              <w:rPr>
                <w:rFonts w:hint="eastAsia" w:ascii="仿宋" w:hAnsi="仿宋" w:eastAsia="仿宋" w:cs="仿宋"/>
                <w:color w:val="000000"/>
                <w:lang w:bidi="ar"/>
              </w:rPr>
              <w:t>服务说明</w:t>
            </w:r>
          </w:p>
        </w:tc>
      </w:tr>
      <w:tr w14:paraId="7E32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pct"/>
            <w:shd w:val="clear" w:color="auto" w:fill="auto"/>
            <w:vAlign w:val="center"/>
          </w:tcPr>
          <w:p w14:paraId="687B826B">
            <w:pPr>
              <w:textAlignment w:val="center"/>
              <w:rPr>
                <w:rFonts w:hint="eastAsia" w:ascii="仿宋" w:hAnsi="仿宋" w:eastAsia="仿宋" w:cs="仿宋"/>
                <w:color w:val="000000"/>
                <w:lang w:bidi="ar"/>
              </w:rPr>
            </w:pPr>
          </w:p>
        </w:tc>
        <w:tc>
          <w:tcPr>
            <w:tcW w:w="401" w:type="pct"/>
            <w:shd w:val="clear" w:color="auto" w:fill="auto"/>
            <w:vAlign w:val="center"/>
          </w:tcPr>
          <w:p w14:paraId="1A0C6AB4">
            <w:pPr>
              <w:jc w:val="center"/>
              <w:textAlignment w:val="center"/>
              <w:rPr>
                <w:rFonts w:hint="eastAsia" w:ascii="仿宋" w:hAnsi="仿宋" w:eastAsia="仿宋" w:cs="仿宋"/>
                <w:color w:val="000000"/>
                <w:lang w:bidi="ar"/>
              </w:rPr>
            </w:pPr>
          </w:p>
        </w:tc>
        <w:tc>
          <w:tcPr>
            <w:tcW w:w="536" w:type="pct"/>
            <w:shd w:val="clear" w:color="auto" w:fill="auto"/>
            <w:vAlign w:val="center"/>
          </w:tcPr>
          <w:p w14:paraId="0D669DC1">
            <w:pPr>
              <w:jc w:val="center"/>
              <w:textAlignment w:val="center"/>
              <w:rPr>
                <w:rFonts w:hint="eastAsia" w:ascii="仿宋" w:hAnsi="仿宋" w:eastAsia="仿宋" w:cs="仿宋"/>
                <w:color w:val="000000"/>
                <w:lang w:bidi="ar"/>
              </w:rPr>
            </w:pPr>
          </w:p>
        </w:tc>
        <w:tc>
          <w:tcPr>
            <w:tcW w:w="863" w:type="pct"/>
            <w:shd w:val="clear" w:color="auto" w:fill="auto"/>
            <w:vAlign w:val="center"/>
          </w:tcPr>
          <w:p w14:paraId="0666D348">
            <w:pPr>
              <w:jc w:val="center"/>
              <w:textAlignment w:val="center"/>
              <w:rPr>
                <w:rFonts w:hint="eastAsia" w:ascii="仿宋" w:hAnsi="仿宋" w:eastAsia="仿宋"/>
                <w:color w:val="000000"/>
                <w:sz w:val="18"/>
                <w:szCs w:val="18"/>
                <w:lang w:bidi="ar"/>
              </w:rPr>
            </w:pPr>
          </w:p>
        </w:tc>
        <w:tc>
          <w:tcPr>
            <w:tcW w:w="787" w:type="pct"/>
            <w:shd w:val="clear" w:color="auto" w:fill="auto"/>
            <w:vAlign w:val="center"/>
          </w:tcPr>
          <w:p w14:paraId="7884228C">
            <w:pPr>
              <w:jc w:val="center"/>
              <w:textAlignment w:val="center"/>
              <w:rPr>
                <w:rFonts w:hint="eastAsia" w:ascii="仿宋" w:hAnsi="仿宋" w:eastAsia="仿宋"/>
                <w:color w:val="000000"/>
                <w:sz w:val="18"/>
                <w:szCs w:val="18"/>
                <w:lang w:bidi="ar"/>
              </w:rPr>
            </w:pPr>
          </w:p>
        </w:tc>
        <w:tc>
          <w:tcPr>
            <w:tcW w:w="1711" w:type="pct"/>
            <w:shd w:val="clear" w:color="auto" w:fill="auto"/>
            <w:vAlign w:val="center"/>
          </w:tcPr>
          <w:p w14:paraId="2BF20AEB">
            <w:pPr>
              <w:textAlignment w:val="center"/>
              <w:rPr>
                <w:rFonts w:hint="eastAsia" w:ascii="仿宋" w:hAnsi="仿宋" w:eastAsia="仿宋" w:cs="仿宋"/>
                <w:color w:val="000000"/>
                <w:lang w:bidi="ar"/>
              </w:rPr>
            </w:pPr>
          </w:p>
        </w:tc>
      </w:tr>
      <w:tr w14:paraId="023D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00" w:type="pct"/>
            <w:shd w:val="clear" w:color="auto" w:fill="FFFFFF"/>
            <w:vAlign w:val="center"/>
          </w:tcPr>
          <w:p w14:paraId="7CD398D8">
            <w:pPr>
              <w:textAlignment w:val="center"/>
              <w:rPr>
                <w:rFonts w:hint="eastAsia" w:ascii="仿宋" w:hAnsi="仿宋" w:eastAsia="仿宋" w:cs="仿宋"/>
                <w:color w:val="000000"/>
                <w:lang w:bidi="ar"/>
              </w:rPr>
            </w:pPr>
            <w:r>
              <w:rPr>
                <w:rFonts w:hint="eastAsia" w:ascii="仿宋" w:hAnsi="仿宋" w:eastAsia="仿宋" w:cs="仿宋"/>
                <w:color w:val="000000"/>
                <w:lang w:bidi="ar"/>
              </w:rPr>
              <w:t>费用合计</w:t>
            </w:r>
          </w:p>
        </w:tc>
        <w:tc>
          <w:tcPr>
            <w:tcW w:w="4299" w:type="pct"/>
            <w:gridSpan w:val="5"/>
            <w:shd w:val="clear" w:color="auto" w:fill="auto"/>
            <w:vAlign w:val="center"/>
          </w:tcPr>
          <w:p w14:paraId="28C34B54">
            <w:pPr>
              <w:jc w:val="center"/>
              <w:textAlignment w:val="center"/>
              <w:rPr>
                <w:rFonts w:hint="eastAsia" w:ascii="仿宋" w:hAnsi="仿宋" w:eastAsia="仿宋" w:cs="仿宋"/>
                <w:color w:val="000000"/>
                <w:lang w:bidi="ar"/>
              </w:rPr>
            </w:pPr>
          </w:p>
        </w:tc>
      </w:tr>
    </w:tbl>
    <w:p w14:paraId="54437F71">
      <w:pPr>
        <w:pStyle w:val="15"/>
      </w:pPr>
      <w:bookmarkStart w:id="1767" w:name="OLE_LINK2"/>
      <w:bookmarkStart w:id="1768" w:name="OLE_LINK1"/>
    </w:p>
    <w:p w14:paraId="3370F8DA">
      <w:pPr>
        <w:spacing w:line="360" w:lineRule="auto"/>
        <w:ind w:firstLine="482" w:firstLineChars="200"/>
        <w:rPr>
          <w:rFonts w:hint="eastAsia" w:cs="仿宋"/>
          <w:b/>
          <w:bCs/>
        </w:rPr>
      </w:pPr>
      <w:r>
        <w:rPr>
          <w:rFonts w:hint="eastAsia" w:cs="仿宋"/>
          <w:b/>
          <w:bCs/>
        </w:rPr>
        <w:t>第二条　合同价款</w:t>
      </w:r>
    </w:p>
    <w:p w14:paraId="3A041713">
      <w:pPr>
        <w:tabs>
          <w:tab w:val="left" w:pos="1260"/>
        </w:tabs>
        <w:adjustRightInd w:val="0"/>
        <w:snapToGrid w:val="0"/>
        <w:spacing w:line="360" w:lineRule="auto"/>
        <w:ind w:firstLine="480" w:firstLineChars="200"/>
        <w:rPr>
          <w:rFonts w:hint="eastAsia" w:cs="仿宋"/>
          <w:color w:val="000000"/>
        </w:rPr>
      </w:pPr>
      <w:r>
        <w:rPr>
          <w:rFonts w:hint="eastAsia" w:cs="仿宋"/>
          <w:color w:val="000000"/>
        </w:rPr>
        <w:t>本合同价款，含税总计人民币（大写）</w:t>
      </w:r>
      <w:r>
        <w:rPr>
          <w:rFonts w:hint="eastAsia" w:cs="仿宋"/>
          <w:color w:val="000000"/>
          <w:u w:val="single"/>
        </w:rPr>
        <w:t xml:space="preserve">    整</w:t>
      </w:r>
      <w:r>
        <w:rPr>
          <w:rFonts w:hint="eastAsia" w:cs="仿宋"/>
          <w:color w:val="000000"/>
        </w:rPr>
        <w:t>，（小写）</w:t>
      </w:r>
      <w:r>
        <w:rPr>
          <w:rFonts w:hint="eastAsia" w:cs="仿宋"/>
          <w:color w:val="000000"/>
          <w:u w:val="single"/>
        </w:rPr>
        <w:t xml:space="preserve">    </w:t>
      </w:r>
      <w:r>
        <w:rPr>
          <w:rFonts w:hint="eastAsia" w:cs="仿宋"/>
          <w:color w:val="000000"/>
        </w:rPr>
        <w:t>元，(其中：采购部分总计人民币</w:t>
      </w:r>
      <w:r>
        <w:rPr>
          <w:rFonts w:hint="eastAsia" w:cs="仿宋"/>
          <w:color w:val="000000"/>
          <w:u w:val="single"/>
        </w:rPr>
        <w:t xml:space="preserve">    </w:t>
      </w:r>
      <w:r>
        <w:rPr>
          <w:rFonts w:hint="eastAsia" w:cs="仿宋"/>
          <w:color w:val="000000"/>
        </w:rPr>
        <w:t>元，税率13%，不含税金额为￥</w:t>
      </w:r>
      <w:r>
        <w:rPr>
          <w:rFonts w:hint="eastAsia" w:cs="仿宋"/>
          <w:color w:val="000000"/>
          <w:u w:val="single"/>
        </w:rPr>
        <w:t xml:space="preserve">   </w:t>
      </w:r>
      <w:r>
        <w:rPr>
          <w:rFonts w:hint="eastAsia" w:cs="仿宋"/>
          <w:color w:val="000000"/>
        </w:rPr>
        <w:t>元，税款为￥</w:t>
      </w:r>
      <w:r>
        <w:rPr>
          <w:rFonts w:hint="eastAsia" w:cs="仿宋"/>
          <w:color w:val="000000"/>
          <w:u w:val="single"/>
        </w:rPr>
        <w:t xml:space="preserve">   </w:t>
      </w:r>
      <w:r>
        <w:rPr>
          <w:rFonts w:hint="eastAsia" w:cs="仿宋"/>
          <w:color w:val="000000"/>
        </w:rPr>
        <w:t>元；</w:t>
      </w:r>
      <w:r>
        <w:rPr>
          <w:rFonts w:hint="eastAsia" w:cs="Times New Roman"/>
          <w:kern w:val="2"/>
        </w:rPr>
        <w:t>服务</w:t>
      </w:r>
      <w:r>
        <w:rPr>
          <w:rFonts w:hint="eastAsia" w:cs="仿宋"/>
          <w:color w:val="000000"/>
        </w:rPr>
        <w:t>部分总计人民币</w:t>
      </w:r>
      <w:r>
        <w:rPr>
          <w:rFonts w:hint="eastAsia" w:cs="仿宋"/>
          <w:color w:val="000000"/>
          <w:u w:val="single"/>
        </w:rPr>
        <w:t xml:space="preserve">   </w:t>
      </w:r>
      <w:r>
        <w:rPr>
          <w:rFonts w:hint="eastAsia" w:cs="仿宋"/>
          <w:color w:val="000000"/>
        </w:rPr>
        <w:t>元，税率6%，不含税金额为￥</w:t>
      </w:r>
      <w:r>
        <w:rPr>
          <w:rFonts w:hint="eastAsia" w:cs="仿宋"/>
          <w:color w:val="000000"/>
          <w:u w:val="single"/>
        </w:rPr>
        <w:t xml:space="preserve">   </w:t>
      </w:r>
      <w:r>
        <w:rPr>
          <w:rFonts w:hint="eastAsia" w:cs="仿宋"/>
          <w:color w:val="000000"/>
        </w:rPr>
        <w:t>元，税款为￥</w:t>
      </w:r>
      <w:r>
        <w:rPr>
          <w:rFonts w:hint="eastAsia" w:cs="仿宋"/>
          <w:color w:val="000000"/>
          <w:u w:val="single"/>
        </w:rPr>
        <w:t xml:space="preserve">    </w:t>
      </w:r>
      <w:r>
        <w:rPr>
          <w:rFonts w:hint="eastAsia" w:cs="仿宋"/>
          <w:color w:val="000000"/>
        </w:rPr>
        <w:t>元）；</w:t>
      </w:r>
    </w:p>
    <w:p w14:paraId="64F30399">
      <w:pPr>
        <w:tabs>
          <w:tab w:val="left" w:pos="1260"/>
        </w:tabs>
        <w:adjustRightInd w:val="0"/>
        <w:snapToGrid w:val="0"/>
        <w:spacing w:line="360" w:lineRule="auto"/>
        <w:ind w:firstLine="480" w:firstLineChars="200"/>
        <w:rPr>
          <w:rFonts w:hint="eastAsia" w:cs="仿宋"/>
          <w:color w:val="000000"/>
          <w:u w:val="single"/>
        </w:rPr>
      </w:pPr>
      <w:r>
        <w:rPr>
          <w:rFonts w:hint="eastAsia" w:cs="仿宋"/>
          <w:color w:val="000000"/>
        </w:rPr>
        <w:t>该价款包含了乙方履行本合同所需要的全部费用，包括但不限于合同标的费用、包装费、运输费、安装调试费、施工费、培训费等一切可能产生的费用。</w:t>
      </w:r>
    </w:p>
    <w:p w14:paraId="56FD8A2D">
      <w:pPr>
        <w:spacing w:line="360" w:lineRule="auto"/>
        <w:ind w:firstLine="482" w:firstLineChars="200"/>
        <w:rPr>
          <w:rFonts w:hint="eastAsia" w:cs="仿宋"/>
          <w:b/>
          <w:bCs/>
        </w:rPr>
      </w:pPr>
      <w:r>
        <w:rPr>
          <w:rFonts w:hint="eastAsia" w:cs="仿宋"/>
          <w:b/>
          <w:bCs/>
        </w:rPr>
        <w:t>第三条　交付时间、地点和方式</w:t>
      </w:r>
    </w:p>
    <w:p w14:paraId="5732B829">
      <w:pPr>
        <w:adjustRightInd w:val="0"/>
        <w:snapToGrid w:val="0"/>
        <w:spacing w:line="360" w:lineRule="auto"/>
        <w:ind w:firstLine="480" w:firstLineChars="200"/>
        <w:rPr>
          <w:rFonts w:hint="eastAsia" w:cs="仿宋"/>
          <w:color w:val="000000"/>
        </w:rPr>
      </w:pPr>
      <w:r>
        <w:rPr>
          <w:rFonts w:hint="eastAsia" w:cs="仿宋"/>
          <w:color w:val="000000"/>
        </w:rPr>
        <w:t>乙方须将本合同产品在规定的交付时间内送到</w:t>
      </w:r>
      <w:r>
        <w:rPr>
          <w:rFonts w:hint="eastAsia"/>
          <w:color w:val="000000"/>
        </w:rPr>
        <w:t>甲方</w:t>
      </w:r>
      <w:r>
        <w:rPr>
          <w:rFonts w:hint="eastAsia" w:cs="仿宋"/>
          <w:color w:val="000000"/>
        </w:rPr>
        <w:t>指定交付地点，运输费用由乙方承担。</w:t>
      </w:r>
    </w:p>
    <w:p w14:paraId="795BA0A9">
      <w:pPr>
        <w:adjustRightInd w:val="0"/>
        <w:snapToGrid w:val="0"/>
        <w:spacing w:line="360" w:lineRule="auto"/>
        <w:ind w:firstLine="480" w:firstLineChars="200"/>
        <w:rPr>
          <w:rFonts w:hint="eastAsia" w:cs="仿宋"/>
          <w:color w:val="000000"/>
          <w:u w:val="single"/>
        </w:rPr>
      </w:pPr>
      <w:r>
        <w:rPr>
          <w:rFonts w:hint="eastAsia" w:cs="仿宋"/>
          <w:color w:val="000000"/>
        </w:rPr>
        <w:t>交付时间：</w:t>
      </w:r>
      <w:r>
        <w:rPr>
          <w:rFonts w:hint="eastAsia" w:cs="仿宋"/>
          <w:color w:val="000000"/>
          <w:u w:val="single"/>
        </w:rPr>
        <w:t xml:space="preserve"> 合同签订之日起      </w:t>
      </w:r>
      <w:r>
        <w:rPr>
          <w:rFonts w:hint="eastAsia"/>
          <w:color w:val="000000"/>
          <w:u w:val="single"/>
        </w:rPr>
        <w:t>个工作日内</w:t>
      </w:r>
      <w:r>
        <w:rPr>
          <w:rFonts w:hint="eastAsia" w:cs="仿宋"/>
          <w:color w:val="000000"/>
          <w:u w:val="single"/>
        </w:rPr>
        <w:t>完成到货验收，6个月内完成终验</w:t>
      </w:r>
    </w:p>
    <w:p w14:paraId="6F667FBB">
      <w:pPr>
        <w:adjustRightInd w:val="0"/>
        <w:snapToGrid w:val="0"/>
        <w:spacing w:line="360" w:lineRule="auto"/>
        <w:ind w:firstLine="480" w:firstLineChars="200"/>
        <w:rPr>
          <w:rFonts w:hint="eastAsia" w:cs="仿宋"/>
          <w:color w:val="000000"/>
          <w:u w:val="single"/>
        </w:rPr>
      </w:pPr>
      <w:r>
        <w:rPr>
          <w:rFonts w:hint="eastAsia" w:cs="仿宋"/>
          <w:color w:val="000000"/>
        </w:rPr>
        <w:t>交付地点：</w:t>
      </w:r>
      <w:r>
        <w:rPr>
          <w:rFonts w:hint="eastAsia" w:cs="仿宋"/>
          <w:color w:val="000000"/>
          <w:u w:val="single"/>
        </w:rPr>
        <w:t xml:space="preserve"> 甲方指定地点 </w:t>
      </w:r>
    </w:p>
    <w:p w14:paraId="7CDF539A">
      <w:pPr>
        <w:adjustRightInd w:val="0"/>
        <w:snapToGrid w:val="0"/>
        <w:spacing w:line="360" w:lineRule="auto"/>
        <w:ind w:firstLine="480" w:firstLineChars="200"/>
        <w:rPr>
          <w:rFonts w:hint="eastAsia" w:cs="仿宋"/>
          <w:color w:val="000000"/>
          <w:u w:val="single"/>
        </w:rPr>
      </w:pPr>
      <w:r>
        <w:rPr>
          <w:rFonts w:hint="eastAsia" w:cs="仿宋"/>
          <w:color w:val="000000"/>
          <w:u w:val="single"/>
        </w:rPr>
        <w:t>包装要求：所有产品均应采用本行业的通用方式</w:t>
      </w:r>
      <w:r>
        <w:rPr>
          <w:rFonts w:hint="eastAsia"/>
          <w:color w:val="000000"/>
          <w:u w:val="single"/>
        </w:rPr>
        <w:t>进行</w:t>
      </w:r>
      <w:r>
        <w:rPr>
          <w:rFonts w:hint="eastAsia" w:cs="仿宋"/>
          <w:color w:val="000000"/>
          <w:u w:val="single"/>
        </w:rPr>
        <w:t>包装，做出警示标志</w:t>
      </w:r>
      <w:r>
        <w:rPr>
          <w:rFonts w:hint="eastAsia"/>
          <w:color w:val="000000"/>
          <w:u w:val="single"/>
        </w:rPr>
        <w:t>或</w:t>
      </w:r>
      <w:r>
        <w:rPr>
          <w:rFonts w:hint="eastAsia" w:cs="仿宋"/>
          <w:color w:val="000000"/>
          <w:u w:val="single"/>
        </w:rPr>
        <w:t xml:space="preserve">中文警示说明，标明储运注意事项，确保防潮、防锈、防震、防粗暴装卸。 </w:t>
      </w:r>
    </w:p>
    <w:p w14:paraId="2D02E34E">
      <w:pPr>
        <w:adjustRightInd w:val="0"/>
        <w:snapToGrid w:val="0"/>
        <w:spacing w:line="360" w:lineRule="auto"/>
        <w:ind w:firstLine="480" w:firstLineChars="200"/>
        <w:rPr>
          <w:rFonts w:hint="eastAsia"/>
        </w:rPr>
      </w:pPr>
      <w:r>
        <w:rPr>
          <w:rFonts w:hint="eastAsia" w:cs="仿宋"/>
          <w:color w:val="000000"/>
          <w:u w:val="single"/>
        </w:rPr>
        <w:t>风险转移：本合同项下所有设备</w:t>
      </w:r>
      <w:r>
        <w:rPr>
          <w:rFonts w:hint="eastAsia"/>
          <w:color w:val="000000"/>
          <w:u w:val="single"/>
        </w:rPr>
        <w:t>及</w:t>
      </w:r>
      <w:r>
        <w:rPr>
          <w:rFonts w:hint="eastAsia" w:cs="仿宋"/>
          <w:color w:val="000000"/>
          <w:u w:val="single"/>
        </w:rPr>
        <w:t>材料在运至</w:t>
      </w:r>
      <w:r>
        <w:rPr>
          <w:rFonts w:hint="eastAsia"/>
          <w:color w:val="000000"/>
          <w:u w:val="single"/>
        </w:rPr>
        <w:t>甲方</w:t>
      </w:r>
      <w:r>
        <w:rPr>
          <w:rFonts w:hint="eastAsia" w:cs="仿宋"/>
          <w:color w:val="000000"/>
          <w:u w:val="single"/>
        </w:rPr>
        <w:t>指定地点并</w:t>
      </w:r>
      <w:r>
        <w:rPr>
          <w:rFonts w:hint="eastAsia"/>
          <w:color w:val="000000"/>
          <w:u w:val="single"/>
        </w:rPr>
        <w:t>到货验收合格</w:t>
      </w:r>
      <w:r>
        <w:rPr>
          <w:rFonts w:hint="eastAsia" w:cs="仿宋"/>
          <w:color w:val="000000"/>
          <w:u w:val="single"/>
        </w:rPr>
        <w:t>之后</w:t>
      </w:r>
      <w:r>
        <w:rPr>
          <w:rFonts w:hint="eastAsia"/>
          <w:color w:val="000000"/>
          <w:u w:val="single"/>
        </w:rPr>
        <w:t>毁损、灭失的风险由乙方承担。</w:t>
      </w:r>
      <w:r>
        <w:rPr>
          <w:rFonts w:hint="eastAsia" w:cs="仿宋"/>
          <w:color w:val="000000"/>
          <w:u w:val="single"/>
        </w:rPr>
        <w:t>但由于甲方的过错造成的损失除外。</w:t>
      </w:r>
    </w:p>
    <w:p w14:paraId="7F9FDF96">
      <w:pPr>
        <w:pStyle w:val="63"/>
        <w:spacing w:line="360" w:lineRule="auto"/>
        <w:ind w:firstLine="480"/>
        <w:rPr>
          <w:rFonts w:hint="eastAsia" w:cs="Times New Roman"/>
        </w:rPr>
      </w:pPr>
      <w:r>
        <w:rPr>
          <w:rFonts w:hint="eastAsia" w:cs="Times New Roman"/>
        </w:rPr>
        <w:t>乙方应当及时与甲方沟通、汇报本项目进展情况，并应甲方要求出具相应文件。</w:t>
      </w:r>
    </w:p>
    <w:bookmarkEnd w:id="1767"/>
    <w:bookmarkEnd w:id="1768"/>
    <w:p w14:paraId="2A644401">
      <w:pPr>
        <w:pStyle w:val="63"/>
        <w:spacing w:line="360" w:lineRule="auto"/>
        <w:ind w:firstLine="480"/>
        <w:rPr>
          <w:rFonts w:hint="eastAsia" w:cs="Times New Roman"/>
        </w:rPr>
      </w:pPr>
      <w:r>
        <w:rPr>
          <w:rFonts w:hint="eastAsia" w:cs="Times New Roman"/>
        </w:rPr>
        <w:t>对乙方提供的服务及相应物料（如有）进行非现场验收的，甲方有权在收到乙方提供的项目总结报告后向乙方提出最终验收意见。现场验收的，甲方有权在现场验收文件中备注最终验收意见。</w:t>
      </w:r>
    </w:p>
    <w:p w14:paraId="40F62B8A">
      <w:pPr>
        <w:pStyle w:val="63"/>
        <w:spacing w:line="360" w:lineRule="auto"/>
        <w:ind w:firstLine="480"/>
        <w:rPr>
          <w:rFonts w:hint="eastAsia" w:cs="Times New Roman"/>
        </w:rPr>
      </w:pPr>
      <w:r>
        <w:rPr>
          <w:rFonts w:hint="eastAsia" w:cs="Times New Roman"/>
        </w:rPr>
        <w:t>本合同项下货物运抵交货地点后，甲方应组织相关人员于货物运抵后，进行到货验收，到货验收通过后，乙方开始货物产品的系统集成及调试服务，并进行试运行工作。试运行满3个月，经甲方确认，乙方发起终验申请，甲方应于接到乙方通知后【10】个工作日内组织终验，终验通过后进入质保期。</w:t>
      </w:r>
    </w:p>
    <w:p w14:paraId="7E3E15E3">
      <w:pPr>
        <w:spacing w:line="360" w:lineRule="auto"/>
        <w:ind w:firstLine="482" w:firstLineChars="200"/>
        <w:rPr>
          <w:rFonts w:hint="eastAsia" w:cs="仿宋"/>
          <w:b/>
          <w:bCs/>
        </w:rPr>
      </w:pPr>
      <w:r>
        <w:rPr>
          <w:rFonts w:hint="eastAsia" w:cs="仿宋"/>
          <w:b/>
          <w:bCs/>
        </w:rPr>
        <w:t>第四条　质量保证</w:t>
      </w:r>
    </w:p>
    <w:p w14:paraId="230F06EA">
      <w:pPr>
        <w:adjustRightInd w:val="0"/>
        <w:snapToGrid w:val="0"/>
        <w:spacing w:line="360" w:lineRule="auto"/>
        <w:ind w:firstLine="480" w:firstLineChars="200"/>
        <w:rPr>
          <w:rFonts w:hint="eastAsia" w:cs="仿宋"/>
          <w:color w:val="000000"/>
        </w:rPr>
      </w:pPr>
      <w:r>
        <w:rPr>
          <w:rFonts w:hint="eastAsia" w:cs="仿宋"/>
          <w:color w:val="000000"/>
        </w:rPr>
        <w:t>（一）乙方应保证所交付的产品是全新、未使用过的原装正品，所有手续及所附技术资料及其它资料是合法的、正确的和完整的，并符合国家标准、行业标准及本合同规定的质量、规格、性能要求以及相关技术规范。</w:t>
      </w:r>
    </w:p>
    <w:p w14:paraId="40D0D486">
      <w:pPr>
        <w:adjustRightInd w:val="0"/>
        <w:snapToGrid w:val="0"/>
        <w:spacing w:line="360" w:lineRule="auto"/>
        <w:ind w:firstLine="480" w:firstLineChars="200"/>
        <w:rPr>
          <w:rFonts w:hint="eastAsia" w:cs="仿宋"/>
          <w:color w:val="000000"/>
        </w:rPr>
      </w:pPr>
      <w:r>
        <w:rPr>
          <w:rFonts w:hint="eastAsia" w:cs="仿宋"/>
          <w:color w:val="000000"/>
        </w:rPr>
        <w:t>（二）乙方交付的产品规格、数量、质量不符合本合同规定的，乙方应按照甲方的要求对产品进行调换并重新交付，如未在合同规定的时间内进行交付，应承担延迟交货的违约责任。</w:t>
      </w:r>
    </w:p>
    <w:p w14:paraId="11220592">
      <w:pPr>
        <w:adjustRightInd w:val="0"/>
        <w:snapToGrid w:val="0"/>
        <w:spacing w:line="360" w:lineRule="auto"/>
        <w:ind w:firstLine="480" w:firstLineChars="200"/>
        <w:rPr>
          <w:rFonts w:hint="eastAsia" w:cs="仿宋"/>
          <w:color w:val="000000"/>
        </w:rPr>
      </w:pPr>
      <w:r>
        <w:rPr>
          <w:rFonts w:hint="eastAsia" w:cs="仿宋"/>
          <w:color w:val="000000"/>
        </w:rPr>
        <w:t>（三）乙方应在交付产品时向甲方交付质量检验合格证明、使用说明、技术资料及保修证明，软件产品还需提供软件许可证。乙方保证上述资料的真实性、完整性和有效性。如甲方认为乙方交付的资料不完整，乙方应在收到甲方通知后立即补充交付。</w:t>
      </w:r>
    </w:p>
    <w:p w14:paraId="337CC22A">
      <w:pPr>
        <w:spacing w:line="360" w:lineRule="auto"/>
        <w:ind w:firstLine="482" w:firstLineChars="200"/>
        <w:rPr>
          <w:rFonts w:hint="eastAsia" w:cs="仿宋"/>
          <w:b/>
        </w:rPr>
      </w:pPr>
      <w:r>
        <w:rPr>
          <w:rFonts w:hint="eastAsia" w:cs="仿宋"/>
          <w:b/>
          <w:bCs/>
        </w:rPr>
        <w:t>第五条　产品验收</w:t>
      </w:r>
    </w:p>
    <w:p w14:paraId="1AD5A008">
      <w:pPr>
        <w:adjustRightInd w:val="0"/>
        <w:snapToGrid w:val="0"/>
        <w:spacing w:line="360" w:lineRule="auto"/>
        <w:ind w:firstLine="480" w:firstLineChars="200"/>
        <w:rPr>
          <w:rFonts w:hint="eastAsia" w:cs="仿宋"/>
          <w:color w:val="000000"/>
        </w:rPr>
      </w:pPr>
      <w:r>
        <w:rPr>
          <w:rFonts w:hint="eastAsia" w:cs="仿宋"/>
          <w:color w:val="000000"/>
        </w:rPr>
        <w:t>（一）产品到货验收</w:t>
      </w:r>
    </w:p>
    <w:p w14:paraId="469995C8">
      <w:pPr>
        <w:adjustRightInd w:val="0"/>
        <w:snapToGrid w:val="0"/>
        <w:spacing w:line="360" w:lineRule="auto"/>
        <w:ind w:firstLine="480" w:firstLineChars="200"/>
        <w:rPr>
          <w:rFonts w:hint="eastAsia" w:cs="仿宋"/>
          <w:color w:val="000000"/>
        </w:rPr>
      </w:pPr>
      <w:r>
        <w:rPr>
          <w:rFonts w:hint="eastAsia" w:cs="仿宋"/>
          <w:color w:val="000000"/>
        </w:rPr>
        <w:t>1、甲方验收人员须在本合同规定的设备及材料交付后进行产品到货验收，即确认产品外观、数量、外包装型号等是否与本合同第一条一致。甲方认可一致的，应在本合同产品的验收单上签字。乙方参与验收人员须同时签字确认。但是该签收只代表甲方对产品型号、数量、外观等的确认，并不代表甲方对产品质量的验收或认可，该签收不能免除乙方在本合同项下的任何责任。如交付的上述产品不符合约定，甲方有权拒收，乙方应在 3 个工作日内按甲方要求进行补齐或更换，因此产生的运输费、仓储费等费用由乙方承担。</w:t>
      </w:r>
    </w:p>
    <w:p w14:paraId="1E1539E0">
      <w:pPr>
        <w:adjustRightInd w:val="0"/>
        <w:snapToGrid w:val="0"/>
        <w:spacing w:line="360" w:lineRule="auto"/>
        <w:ind w:firstLine="480" w:firstLineChars="200"/>
        <w:rPr>
          <w:rFonts w:hint="eastAsia" w:cs="仿宋"/>
          <w:color w:val="000000"/>
        </w:rPr>
      </w:pPr>
      <w:r>
        <w:rPr>
          <w:rFonts w:hint="eastAsia" w:cs="仿宋"/>
          <w:color w:val="000000"/>
        </w:rPr>
        <w:t>2、若甲方在验收过程中发现与本合同规定要求不符之处，应在签收单上明确写出。</w:t>
      </w:r>
    </w:p>
    <w:p w14:paraId="637C45F0">
      <w:pPr>
        <w:adjustRightInd w:val="0"/>
        <w:snapToGrid w:val="0"/>
        <w:spacing w:line="360" w:lineRule="auto"/>
        <w:ind w:firstLine="480" w:firstLineChars="200"/>
        <w:rPr>
          <w:rFonts w:hint="eastAsia" w:cs="仿宋"/>
          <w:color w:val="000000"/>
        </w:rPr>
      </w:pPr>
      <w: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196850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16pt;margin-top:15.5pt;height:0pt;width:0.05pt;z-index:251660288;mso-width-relative:page;mso-height-relative:page;" filled="f" stroked="t" coordsize="21600,21600" o:gfxdata="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DvsMLVAAAACQEAAA8A&#10;AAAAAAAAAQAgAAAAIgAAAGRycy9kb3ducmV2LnhtbFBLAQIUABQAAAAIAIdO4kDWonqy4QEAAKYD&#10;AAAOAAAAAAAAAAEAIAAAACQBAABkcnMvZTJvRG9jLnhtbFBLBQYAAAAABgAGAFkBAAB3BQAAAAA=&#10;">
                <v:fill on="f" focussize="0,0"/>
                <v:stroke color="#000000" joinstyle="round"/>
                <v:imagedata o:title=""/>
                <o:lock v:ext="edit" aspectratio="f"/>
              </v:line>
            </w:pict>
          </mc:Fallback>
        </mc:AlternateContent>
      </w:r>
      <w:r>
        <w:rPr>
          <w:rFonts w:hint="eastAsia" w:cs="仿宋"/>
          <w:color w:val="000000"/>
        </w:rPr>
        <w:t>（二）产品终验</w:t>
      </w:r>
    </w:p>
    <w:p w14:paraId="1A22ECBE">
      <w:pPr>
        <w:adjustRightInd w:val="0"/>
        <w:snapToGrid w:val="0"/>
        <w:spacing w:line="360" w:lineRule="auto"/>
        <w:ind w:firstLine="480" w:firstLineChars="200"/>
        <w:rPr>
          <w:rFonts w:hint="eastAsia" w:cs="仿宋"/>
          <w:color w:val="000000"/>
        </w:rPr>
      </w:pPr>
      <w:r>
        <w:rPr>
          <w:rFonts w:hint="eastAsia" w:cs="仿宋"/>
          <w:color w:val="000000"/>
        </w:rPr>
        <w:t>本合同材料及设备等产品交付后，进入试运行阶段。试运行通过后</w:t>
      </w:r>
      <w:r>
        <w:rPr>
          <w:rFonts w:hint="eastAsia"/>
        </w:rPr>
        <w:t>，</w:t>
      </w:r>
      <w:r>
        <w:rPr>
          <w:rFonts w:hint="eastAsia" w:cs="仿宋"/>
          <w:color w:val="000000"/>
        </w:rPr>
        <w:t>甲方组织验收人员进行最终验收（以下称“终验”）。</w:t>
      </w:r>
    </w:p>
    <w:p w14:paraId="597B73AD">
      <w:pPr>
        <w:spacing w:line="360" w:lineRule="auto"/>
        <w:ind w:firstLine="482" w:firstLineChars="200"/>
        <w:rPr>
          <w:rFonts w:hint="eastAsia"/>
          <w:b/>
        </w:rPr>
      </w:pPr>
      <w:r>
        <w:rPr>
          <w:rFonts w:hint="eastAsia" w:cs="仿宋"/>
          <w:b/>
          <w:bCs/>
        </w:rPr>
        <w:t>第六条　付款方式</w:t>
      </w:r>
    </w:p>
    <w:p w14:paraId="72E10353">
      <w:pPr>
        <w:tabs>
          <w:tab w:val="left" w:pos="425"/>
        </w:tabs>
        <w:spacing w:line="360" w:lineRule="auto"/>
        <w:ind w:firstLine="480" w:firstLineChars="200"/>
        <w:rPr>
          <w:rFonts w:hint="eastAsia" w:cs="仿宋"/>
          <w:color w:val="000000"/>
        </w:rPr>
      </w:pPr>
      <w:r>
        <w:rPr>
          <w:rFonts w:hint="eastAsia" w:cs="仿宋"/>
          <w:color w:val="000000"/>
        </w:rPr>
        <w:t>支付方式和时间如下：</w:t>
      </w:r>
    </w:p>
    <w:p w14:paraId="7DA8FC6B">
      <w:pPr>
        <w:tabs>
          <w:tab w:val="left" w:pos="425"/>
        </w:tabs>
        <w:spacing w:line="360" w:lineRule="auto"/>
        <w:ind w:firstLine="480" w:firstLineChars="200"/>
        <w:rPr>
          <w:rFonts w:hint="eastAsia" w:cs="仿宋"/>
          <w:color w:val="000000"/>
        </w:rPr>
      </w:pPr>
      <w:r>
        <w:rPr>
          <w:rFonts w:hint="eastAsia" w:cs="仿宋"/>
          <w:color w:val="000000"/>
        </w:rPr>
        <w:t>（1）</w:t>
      </w:r>
      <w:bookmarkStart w:id="1769" w:name="_Hlk12364090"/>
      <w:r>
        <w:rPr>
          <w:rFonts w:hint="eastAsia" w:cs="仿宋"/>
          <w:color w:val="000000"/>
        </w:rPr>
        <w:t>甲方于合同签订生效日起，支付乙方本合同总金额的</w:t>
      </w:r>
      <w:r>
        <w:rPr>
          <w:rFonts w:cs="仿宋"/>
          <w:color w:val="000000"/>
        </w:rPr>
        <w:t>20</w:t>
      </w:r>
      <w:r>
        <w:rPr>
          <w:rFonts w:hint="eastAsia" w:cs="仿宋"/>
          <w:color w:val="000000"/>
        </w:rPr>
        <w:t>%，即￥</w:t>
      </w:r>
      <w:r>
        <w:rPr>
          <w:rFonts w:hint="eastAsia" w:cs="仿宋"/>
          <w:color w:val="000000"/>
          <w:u w:val="single"/>
        </w:rPr>
        <w:t xml:space="preserve">    </w:t>
      </w:r>
      <w:r>
        <w:rPr>
          <w:rFonts w:hint="eastAsia" w:cs="仿宋"/>
          <w:color w:val="000000"/>
        </w:rPr>
        <w:t>元（大写金额：人民币</w:t>
      </w:r>
      <w:r>
        <w:rPr>
          <w:rFonts w:hint="eastAsia" w:cs="仿宋"/>
          <w:color w:val="000000"/>
          <w:u w:val="single"/>
        </w:rPr>
        <w:t xml:space="preserve">    </w:t>
      </w:r>
      <w:r>
        <w:rPr>
          <w:rFonts w:hint="eastAsia" w:cs="仿宋"/>
          <w:color w:val="000000"/>
        </w:rPr>
        <w:t>元整）。</w:t>
      </w:r>
    </w:p>
    <w:bookmarkEnd w:id="1769"/>
    <w:p w14:paraId="0C81C467">
      <w:pPr>
        <w:tabs>
          <w:tab w:val="left" w:pos="425"/>
        </w:tabs>
        <w:spacing w:line="360" w:lineRule="auto"/>
        <w:ind w:firstLine="480" w:firstLineChars="200"/>
        <w:rPr>
          <w:rFonts w:hint="eastAsia" w:cs="仿宋"/>
          <w:color w:val="000000"/>
        </w:rPr>
      </w:pPr>
      <w:r>
        <w:rPr>
          <w:rFonts w:hint="eastAsia" w:cs="仿宋"/>
          <w:color w:val="000000"/>
        </w:rPr>
        <w:t>（</w:t>
      </w:r>
      <w:r>
        <w:rPr>
          <w:rFonts w:cs="仿宋"/>
          <w:color w:val="000000"/>
        </w:rPr>
        <w:t>2</w:t>
      </w:r>
      <w:r>
        <w:rPr>
          <w:rFonts w:hint="eastAsia" w:cs="仿宋"/>
          <w:color w:val="000000"/>
        </w:rPr>
        <w:t>）甲方在收到货物后，完成到货验收工作，支付本合同总金额的3</w:t>
      </w:r>
      <w:r>
        <w:rPr>
          <w:rFonts w:cs="仿宋"/>
          <w:color w:val="000000"/>
        </w:rPr>
        <w:t>0</w:t>
      </w:r>
      <w:r>
        <w:rPr>
          <w:rFonts w:hint="eastAsia" w:cs="仿宋"/>
          <w:color w:val="000000"/>
        </w:rPr>
        <w:t>%，即￥</w:t>
      </w:r>
      <w:r>
        <w:rPr>
          <w:rFonts w:hint="eastAsia" w:cs="仿宋"/>
          <w:color w:val="000000"/>
          <w:u w:val="single"/>
        </w:rPr>
        <w:t xml:space="preserve">    </w:t>
      </w:r>
      <w:r>
        <w:rPr>
          <w:rFonts w:cs="仿宋"/>
          <w:color w:val="000000"/>
          <w:u w:val="single"/>
        </w:rPr>
        <w:t xml:space="preserve"> </w:t>
      </w:r>
      <w:r>
        <w:rPr>
          <w:rFonts w:hint="eastAsia" w:cs="仿宋"/>
          <w:color w:val="000000"/>
        </w:rPr>
        <w:t>元（大写金额：人民币</w:t>
      </w:r>
      <w:r>
        <w:rPr>
          <w:rFonts w:hint="eastAsia" w:cs="仿宋"/>
          <w:color w:val="000000"/>
          <w:u w:val="single"/>
        </w:rPr>
        <w:t xml:space="preserve">    </w:t>
      </w:r>
      <w:r>
        <w:rPr>
          <w:rFonts w:hint="eastAsia" w:cs="仿宋"/>
          <w:color w:val="000000"/>
        </w:rPr>
        <w:t>元整）。</w:t>
      </w:r>
    </w:p>
    <w:p w14:paraId="557817A0">
      <w:pPr>
        <w:tabs>
          <w:tab w:val="left" w:pos="425"/>
        </w:tabs>
        <w:spacing w:line="360" w:lineRule="auto"/>
        <w:ind w:firstLine="480" w:firstLineChars="200"/>
        <w:rPr>
          <w:rFonts w:hint="eastAsia" w:cs="仿宋"/>
          <w:color w:val="000000"/>
        </w:rPr>
      </w:pPr>
      <w:r>
        <w:rPr>
          <w:rFonts w:hint="eastAsia" w:cs="仿宋"/>
          <w:color w:val="000000"/>
        </w:rPr>
        <w:t>（3）试运行结束后，经甲方验收通过，支付本合同总金额的40%，即￥</w:t>
      </w:r>
      <w:r>
        <w:rPr>
          <w:rFonts w:hint="eastAsia" w:cs="仿宋"/>
          <w:color w:val="000000"/>
          <w:u w:val="single"/>
        </w:rPr>
        <w:t xml:space="preserve">   </w:t>
      </w:r>
      <w:r>
        <w:rPr>
          <w:rFonts w:hint="eastAsia" w:cs="仿宋"/>
          <w:color w:val="000000"/>
        </w:rPr>
        <w:t>元（大写金额：人民币</w:t>
      </w:r>
      <w:r>
        <w:rPr>
          <w:rFonts w:hint="eastAsia" w:cs="仿宋"/>
          <w:color w:val="000000"/>
          <w:u w:val="single"/>
        </w:rPr>
        <w:t xml:space="preserve">    </w:t>
      </w:r>
      <w:r>
        <w:rPr>
          <w:rFonts w:hint="eastAsia" w:cs="仿宋"/>
          <w:color w:val="000000"/>
        </w:rPr>
        <w:t>元整）。</w:t>
      </w:r>
    </w:p>
    <w:p w14:paraId="0D8D5A19">
      <w:pPr>
        <w:tabs>
          <w:tab w:val="left" w:pos="425"/>
        </w:tabs>
        <w:spacing w:line="360" w:lineRule="auto"/>
        <w:ind w:firstLine="480" w:firstLineChars="200"/>
        <w:rPr>
          <w:rFonts w:hint="eastAsia" w:cs="仿宋"/>
          <w:color w:val="000000"/>
        </w:rPr>
      </w:pPr>
      <w:r>
        <w:rPr>
          <w:rFonts w:hint="eastAsia" w:cs="仿宋"/>
          <w:color w:val="000000"/>
        </w:rPr>
        <w:t>（4）剩余合同额</w:t>
      </w:r>
      <w:r>
        <w:rPr>
          <w:rFonts w:cs="仿宋"/>
          <w:color w:val="000000"/>
        </w:rPr>
        <w:t>10</w:t>
      </w:r>
      <w:r>
        <w:rPr>
          <w:rFonts w:hint="eastAsia" w:cs="仿宋"/>
          <w:color w:val="000000"/>
        </w:rPr>
        <w:t>%，即￥</w:t>
      </w:r>
      <w:r>
        <w:rPr>
          <w:rFonts w:hint="eastAsia" w:cs="仿宋"/>
          <w:color w:val="000000"/>
          <w:u w:val="single"/>
        </w:rPr>
        <w:t xml:space="preserve">   </w:t>
      </w:r>
      <w:r>
        <w:rPr>
          <w:rFonts w:hint="eastAsia" w:cs="仿宋"/>
          <w:color w:val="000000"/>
        </w:rPr>
        <w:t>元（大写金额：人民币</w:t>
      </w:r>
      <w:r>
        <w:rPr>
          <w:rFonts w:hint="eastAsia" w:cs="仿宋"/>
          <w:color w:val="000000"/>
          <w:u w:val="single"/>
        </w:rPr>
        <w:t xml:space="preserve">  </w:t>
      </w:r>
      <w:r>
        <w:rPr>
          <w:rFonts w:hint="eastAsia" w:cs="仿宋"/>
          <w:color w:val="000000"/>
        </w:rPr>
        <w:t>元整）作为质保金，质保期满一年且乙方未违反本合同约定义务的前提下支付。</w:t>
      </w:r>
    </w:p>
    <w:p w14:paraId="33B48E09">
      <w:pPr>
        <w:tabs>
          <w:tab w:val="left" w:pos="425"/>
        </w:tabs>
        <w:spacing w:line="360" w:lineRule="auto"/>
        <w:ind w:firstLine="480" w:firstLineChars="200"/>
        <w:rPr>
          <w:rFonts w:hint="eastAsia"/>
          <w:color w:val="000000"/>
        </w:rPr>
      </w:pPr>
      <w:r>
        <w:rPr>
          <w:rFonts w:hint="eastAsia" w:cs="仿宋"/>
          <w:color w:val="000000"/>
        </w:rPr>
        <w:t>甲方在支付前需收到乙方提供给甲方与付款金额一致的有效增值税专用发票。乙方需每次在符合支付条件时向甲方提出支付申请，并且在甲方付款前开出相对应的合法合规的增值税专用发票。甲方收到发票后</w:t>
      </w:r>
      <w:r>
        <w:rPr>
          <w:rFonts w:cs="仿宋"/>
          <w:color w:val="000000"/>
        </w:rPr>
        <w:t>1</w:t>
      </w:r>
      <w:r>
        <w:rPr>
          <w:rFonts w:hint="eastAsia" w:cs="仿宋"/>
          <w:color w:val="000000"/>
        </w:rPr>
        <w:t>5个工作日支付相应款项，乙方迟延提供发票或提供发票不符合甲方要求的，</w:t>
      </w:r>
      <w:r>
        <w:rPr>
          <w:rFonts w:hint="eastAsia"/>
          <w:color w:val="000000"/>
        </w:rPr>
        <w:t>甲方有权</w:t>
      </w:r>
      <w:r>
        <w:rPr>
          <w:rFonts w:hint="eastAsia" w:cs="仿宋"/>
          <w:color w:val="000000"/>
        </w:rPr>
        <w:t>暂缓</w:t>
      </w:r>
      <w:r>
        <w:rPr>
          <w:rFonts w:hint="eastAsia"/>
          <w:color w:val="000000"/>
        </w:rPr>
        <w:t>付款且</w:t>
      </w:r>
      <w:r>
        <w:rPr>
          <w:rFonts w:hint="eastAsia" w:cs="仿宋"/>
          <w:color w:val="000000"/>
        </w:rPr>
        <w:t>无需</w:t>
      </w:r>
      <w:r>
        <w:rPr>
          <w:rFonts w:hint="eastAsia"/>
          <w:color w:val="000000"/>
        </w:rPr>
        <w:t>承担</w:t>
      </w:r>
      <w:r>
        <w:rPr>
          <w:rFonts w:hint="eastAsia" w:cs="仿宋"/>
          <w:color w:val="000000"/>
        </w:rPr>
        <w:t>任何</w:t>
      </w:r>
      <w:r>
        <w:rPr>
          <w:rFonts w:hint="eastAsia"/>
          <w:color w:val="000000"/>
        </w:rPr>
        <w:t>责任。</w:t>
      </w:r>
    </w:p>
    <w:p w14:paraId="014341FF">
      <w:pPr>
        <w:tabs>
          <w:tab w:val="left" w:pos="425"/>
        </w:tabs>
        <w:spacing w:line="360" w:lineRule="auto"/>
        <w:ind w:firstLine="480" w:firstLineChars="200"/>
        <w:rPr>
          <w:rFonts w:hint="eastAsia" w:cs="仿宋"/>
          <w:color w:val="000000"/>
        </w:rPr>
      </w:pPr>
      <w:r>
        <w:rPr>
          <w:rFonts w:hint="eastAsia"/>
        </w:rPr>
        <w:t>3、付款方式：</w:t>
      </w:r>
      <w:r>
        <w:rPr>
          <w:rFonts w:hint="eastAsia" w:cs="仿宋"/>
          <w:color w:val="000000"/>
        </w:rPr>
        <w:t>甲方可采用银行转帐的形式向乙方支付价款。</w:t>
      </w:r>
    </w:p>
    <w:p w14:paraId="56E99674">
      <w:pPr>
        <w:tabs>
          <w:tab w:val="left" w:pos="425"/>
        </w:tabs>
        <w:spacing w:line="360" w:lineRule="auto"/>
        <w:ind w:firstLine="480" w:firstLineChars="200"/>
        <w:rPr>
          <w:rFonts w:hint="eastAsia" w:cs="仿宋"/>
          <w:color w:val="000000"/>
        </w:rPr>
      </w:pPr>
      <w:r>
        <w:rPr>
          <w:rFonts w:hint="eastAsia" w:cs="仿宋"/>
          <w:color w:val="000000"/>
        </w:rPr>
        <w:t> </w:t>
      </w:r>
      <w:r>
        <w:rPr>
          <w:rFonts w:hint="eastAsia"/>
          <w:color w:val="000000"/>
        </w:rPr>
        <w:t>单位名称</w:t>
      </w:r>
      <w:r>
        <w:rPr>
          <w:rFonts w:hint="eastAsia" w:cs="仿宋"/>
          <w:color w:val="000000"/>
        </w:rPr>
        <w:t>：</w:t>
      </w:r>
    </w:p>
    <w:p w14:paraId="55A2AB93">
      <w:pPr>
        <w:tabs>
          <w:tab w:val="left" w:pos="425"/>
        </w:tabs>
        <w:spacing w:line="360" w:lineRule="auto"/>
        <w:ind w:firstLine="480" w:firstLineChars="200"/>
        <w:rPr>
          <w:rFonts w:hint="eastAsia" w:cs="仿宋"/>
          <w:color w:val="000000"/>
        </w:rPr>
      </w:pPr>
      <w:r>
        <w:rPr>
          <w:rFonts w:hint="eastAsia" w:cs="仿宋"/>
          <w:color w:val="000000"/>
        </w:rPr>
        <w:t> </w:t>
      </w:r>
      <w:r>
        <w:rPr>
          <w:rFonts w:hint="eastAsia"/>
          <w:color w:val="000000"/>
        </w:rPr>
        <w:t>开户行</w:t>
      </w:r>
      <w:r>
        <w:rPr>
          <w:rFonts w:hint="eastAsia" w:cs="仿宋"/>
          <w:color w:val="000000"/>
        </w:rPr>
        <w:t>：</w:t>
      </w:r>
    </w:p>
    <w:p w14:paraId="4461A108">
      <w:pPr>
        <w:tabs>
          <w:tab w:val="left" w:pos="425"/>
        </w:tabs>
        <w:spacing w:line="360" w:lineRule="auto"/>
        <w:ind w:firstLine="720" w:firstLineChars="300"/>
        <w:rPr>
          <w:rFonts w:hint="eastAsia" w:cs="仿宋"/>
          <w:color w:val="000000"/>
        </w:rPr>
      </w:pPr>
      <w:r>
        <w:rPr>
          <w:rFonts w:hint="eastAsia"/>
          <w:color w:val="000000"/>
        </w:rPr>
        <w:t>银行账号：</w:t>
      </w:r>
    </w:p>
    <w:p w14:paraId="05850DEB">
      <w:pPr>
        <w:spacing w:line="336" w:lineRule="auto"/>
        <w:ind w:firstLine="480" w:firstLineChars="200"/>
        <w:rPr>
          <w:rFonts w:hint="eastAsia"/>
        </w:rPr>
      </w:pPr>
      <w:r>
        <w:rPr>
          <w:rFonts w:hint="eastAsia"/>
        </w:rPr>
        <w:t>4、乙方根据上述约定提供的发票必须合法、合规，如因发票存在违规行为造成甲方损失的，乙方应该承担相应责任。</w:t>
      </w:r>
    </w:p>
    <w:p w14:paraId="052D6AB4">
      <w:pPr>
        <w:spacing w:line="336" w:lineRule="auto"/>
        <w:ind w:firstLine="480" w:firstLineChars="200"/>
        <w:rPr>
          <w:rFonts w:hint="eastAsia"/>
        </w:rPr>
      </w:pPr>
      <w:r>
        <w:rPr>
          <w:rFonts w:hint="eastAsia"/>
        </w:rPr>
        <w:t>甲方开票信息：</w:t>
      </w:r>
    </w:p>
    <w:p w14:paraId="405FDCF0">
      <w:pPr>
        <w:spacing w:line="336" w:lineRule="auto"/>
        <w:ind w:firstLine="480" w:firstLineChars="200"/>
        <w:rPr>
          <w:rFonts w:hint="eastAsia"/>
          <w:color w:val="000000"/>
        </w:rPr>
      </w:pPr>
      <w:r>
        <w:rPr>
          <w:rFonts w:hint="eastAsia"/>
          <w:color w:val="000000"/>
        </w:rPr>
        <w:t>单位名称：中关村发展集团股份有限公司</w:t>
      </w:r>
    </w:p>
    <w:p w14:paraId="6F6E4F89">
      <w:pPr>
        <w:spacing w:line="336" w:lineRule="auto"/>
        <w:ind w:firstLine="480" w:firstLineChars="200"/>
        <w:rPr>
          <w:rFonts w:hint="eastAsia"/>
          <w:color w:val="000000"/>
        </w:rPr>
      </w:pPr>
      <w:r>
        <w:rPr>
          <w:rFonts w:hint="eastAsia"/>
          <w:color w:val="000000"/>
        </w:rPr>
        <w:t>纳税人识别号：911100005531192122</w:t>
      </w:r>
    </w:p>
    <w:p w14:paraId="2E75D70F">
      <w:pPr>
        <w:spacing w:line="336" w:lineRule="auto"/>
        <w:ind w:firstLine="480" w:firstLineChars="200"/>
        <w:rPr>
          <w:rFonts w:hint="eastAsia"/>
          <w:color w:val="000000"/>
        </w:rPr>
      </w:pPr>
      <w:r>
        <w:rPr>
          <w:rFonts w:hint="eastAsia"/>
          <w:color w:val="000000"/>
        </w:rPr>
        <w:t>地址：北京市海淀区西三环北路甲2号院7号楼10-14层</w:t>
      </w:r>
    </w:p>
    <w:p w14:paraId="4A4241B2">
      <w:pPr>
        <w:spacing w:line="336" w:lineRule="auto"/>
        <w:ind w:firstLine="480" w:firstLineChars="200"/>
        <w:rPr>
          <w:rFonts w:hint="eastAsia"/>
          <w:color w:val="000000"/>
        </w:rPr>
      </w:pPr>
      <w:r>
        <w:rPr>
          <w:rFonts w:hint="eastAsia"/>
          <w:color w:val="000000"/>
        </w:rPr>
        <w:t>电话：010-83453745</w:t>
      </w:r>
    </w:p>
    <w:p w14:paraId="1C550C36">
      <w:pPr>
        <w:spacing w:line="336" w:lineRule="auto"/>
        <w:ind w:firstLine="480" w:firstLineChars="200"/>
        <w:rPr>
          <w:rFonts w:hint="eastAsia"/>
          <w:color w:val="000000"/>
        </w:rPr>
      </w:pPr>
      <w:r>
        <w:rPr>
          <w:rFonts w:hint="eastAsia"/>
          <w:color w:val="000000"/>
        </w:rPr>
        <w:t>开户行：北京银行中关村海淀园支行</w:t>
      </w:r>
    </w:p>
    <w:p w14:paraId="2BB42AE9">
      <w:pPr>
        <w:spacing w:line="336" w:lineRule="auto"/>
        <w:ind w:firstLine="480" w:firstLineChars="200"/>
        <w:rPr>
          <w:rFonts w:hint="eastAsia"/>
          <w:color w:val="000000"/>
        </w:rPr>
      </w:pPr>
      <w:r>
        <w:rPr>
          <w:rFonts w:hint="eastAsia"/>
          <w:color w:val="000000"/>
        </w:rPr>
        <w:t>银行账号: 01091448700120105026190</w:t>
      </w:r>
    </w:p>
    <w:p w14:paraId="359BE3D4">
      <w:pPr>
        <w:spacing w:line="360" w:lineRule="auto"/>
        <w:ind w:firstLine="482" w:firstLineChars="200"/>
        <w:rPr>
          <w:rFonts w:hint="eastAsia" w:cs="仿宋"/>
          <w:b/>
          <w:bCs/>
        </w:rPr>
      </w:pPr>
      <w:r>
        <w:rPr>
          <w:rFonts w:hint="eastAsia"/>
          <w:b/>
          <w:bCs/>
        </w:rPr>
        <w:t>第七</w:t>
      </w:r>
      <w:r>
        <w:rPr>
          <w:rFonts w:hint="eastAsia" w:cs="仿宋"/>
          <w:b/>
          <w:bCs/>
        </w:rPr>
        <w:t xml:space="preserve">条  售后服务 </w:t>
      </w:r>
    </w:p>
    <w:p w14:paraId="0DC13D86">
      <w:pPr>
        <w:pStyle w:val="85"/>
        <w:numPr>
          <w:ilvl w:val="1"/>
          <w:numId w:val="0"/>
        </w:numPr>
        <w:wordWrap/>
        <w:spacing w:beforeLines="0" w:line="360" w:lineRule="auto"/>
        <w:ind w:firstLine="480" w:firstLineChars="200"/>
        <w:outlineLvl w:val="9"/>
        <w:rPr>
          <w:rFonts w:hint="eastAsia" w:ascii="宋体" w:hAnsi="宋体" w:cs="仿宋"/>
          <w:sz w:val="24"/>
        </w:rPr>
      </w:pPr>
      <w:r>
        <w:rPr>
          <w:rFonts w:hint="eastAsia" w:ascii="宋体" w:hAnsi="宋体" w:eastAsia="宋体" w:cs="仿宋"/>
          <w:sz w:val="24"/>
          <w:szCs w:val="24"/>
        </w:rPr>
        <w:t>1、乙方向甲方提供为期</w:t>
      </w:r>
      <w:r>
        <w:rPr>
          <w:rFonts w:hint="eastAsia" w:ascii="宋体" w:hAnsi="宋体" w:eastAsia="宋体" w:cs="仿宋"/>
          <w:sz w:val="24"/>
          <w:szCs w:val="24"/>
          <w:u w:val="single"/>
        </w:rPr>
        <w:t xml:space="preserve">  3  </w:t>
      </w:r>
      <w:r>
        <w:rPr>
          <w:rFonts w:hint="eastAsia" w:ascii="宋体" w:hAnsi="宋体" w:eastAsia="宋体" w:cs="仿宋"/>
          <w:sz w:val="24"/>
          <w:szCs w:val="24"/>
        </w:rPr>
        <w:t>年的质保期服务,质保期自本合同产品通过终验之日起计算。质保期内，如产品或软件发生故障的，乙方需在30分钟内做出响应，2小时内到场，并在24小时内修复问题，保证产品或软件正常使用并承担相关费用，如需更换产品的，非甲方责任造成的产品更换，乙方应免费予以更换，并提供免费的软件升级服务。免费售后服务期限以外的涉及本合同产品的服务费用由双方另行协商确定。</w:t>
      </w:r>
      <w:r>
        <w:rPr>
          <w:rFonts w:ascii="宋体" w:hAnsi="宋体" w:eastAsia="宋体" w:cs="仿宋"/>
          <w:sz w:val="24"/>
          <w:szCs w:val="24"/>
        </w:rPr>
        <w:t xml:space="preserve"> </w:t>
      </w:r>
    </w:p>
    <w:p w14:paraId="4A692DEF">
      <w:pPr>
        <w:pStyle w:val="85"/>
        <w:numPr>
          <w:ilvl w:val="1"/>
          <w:numId w:val="0"/>
        </w:numPr>
        <w:wordWrap/>
        <w:spacing w:beforeLines="0" w:line="360" w:lineRule="auto"/>
        <w:ind w:firstLine="480" w:firstLineChars="200"/>
        <w:outlineLvl w:val="9"/>
        <w:rPr>
          <w:rFonts w:hint="eastAsia" w:ascii="宋体" w:hAnsi="宋体" w:eastAsia="宋体" w:cs="仿宋"/>
          <w:sz w:val="24"/>
          <w:szCs w:val="24"/>
        </w:rPr>
      </w:pPr>
      <w:r>
        <w:rPr>
          <w:rFonts w:hint="eastAsia" w:ascii="宋体" w:hAnsi="宋体" w:eastAsia="宋体" w:cs="仿宋"/>
          <w:sz w:val="24"/>
          <w:szCs w:val="24"/>
        </w:rPr>
        <w:t>2、乙方按照甲方的要求对其系统管理和使用人员进行操作培训，使甲方相关人员能掌握系统的使用、后台维护和系统管理，达到能独立进行操作、日常测试维护等工作的目的；乙方还应针对不同的系统角色用户提供详细的应用培训课程；与培训活动有关的一切费用由乙方承担。</w:t>
      </w:r>
    </w:p>
    <w:p w14:paraId="658EF511">
      <w:pPr>
        <w:spacing w:line="360" w:lineRule="auto"/>
        <w:ind w:firstLine="482" w:firstLineChars="200"/>
        <w:rPr>
          <w:rFonts w:hint="eastAsia"/>
          <w:b/>
        </w:rPr>
      </w:pPr>
      <w:r>
        <w:rPr>
          <w:rFonts w:hint="eastAsia" w:cs="仿宋"/>
          <w:b/>
          <w:bCs/>
        </w:rPr>
        <w:t xml:space="preserve">第八条  </w:t>
      </w:r>
      <w:r>
        <w:rPr>
          <w:rFonts w:hint="eastAsia"/>
          <w:b/>
        </w:rPr>
        <w:t>违约责任</w:t>
      </w:r>
    </w:p>
    <w:p w14:paraId="674D11FF">
      <w:pPr>
        <w:adjustRightInd w:val="0"/>
        <w:snapToGrid w:val="0"/>
        <w:spacing w:line="360" w:lineRule="auto"/>
        <w:ind w:firstLine="480" w:firstLineChars="200"/>
        <w:rPr>
          <w:rFonts w:hint="eastAsia" w:cs="仿宋"/>
          <w:color w:val="000000"/>
        </w:rPr>
      </w:pPr>
      <w:r>
        <w:rPr>
          <w:rFonts w:hint="eastAsia" w:cs="仿宋"/>
          <w:color w:val="000000"/>
        </w:rPr>
        <w:t>（一）</w:t>
      </w:r>
      <w:r>
        <w:rPr>
          <w:rFonts w:hint="eastAsia"/>
          <w:color w:val="000000"/>
        </w:rPr>
        <w:t>甲方</w:t>
      </w:r>
      <w:r>
        <w:rPr>
          <w:rFonts w:hint="eastAsia" w:cs="仿宋"/>
          <w:color w:val="000000"/>
        </w:rPr>
        <w:t>违约责任</w:t>
      </w:r>
    </w:p>
    <w:p w14:paraId="521DB756">
      <w:pPr>
        <w:adjustRightInd w:val="0"/>
        <w:snapToGrid w:val="0"/>
        <w:spacing w:line="360" w:lineRule="auto"/>
        <w:ind w:firstLine="480" w:firstLineChars="200"/>
        <w:rPr>
          <w:rFonts w:hint="eastAsia"/>
          <w:color w:val="000000"/>
        </w:rPr>
      </w:pPr>
      <w:r>
        <w:rPr>
          <w:rFonts w:hint="eastAsia" w:cs="仿宋"/>
          <w:color w:val="000000"/>
        </w:rPr>
        <w:t>1、甲方逾期支付本合同价款的，每日按本合同全部款项的</w:t>
      </w:r>
      <w:r>
        <w:rPr>
          <w:rFonts w:hint="eastAsia" w:cs="仿宋"/>
          <w:color w:val="000000"/>
          <w:u w:val="single"/>
        </w:rPr>
        <w:t>千</w:t>
      </w:r>
      <w:r>
        <w:rPr>
          <w:rFonts w:hint="eastAsia" w:cs="仿宋"/>
          <w:color w:val="000000"/>
        </w:rPr>
        <w:t>分之</w:t>
      </w:r>
      <w:r>
        <w:rPr>
          <w:rFonts w:hint="eastAsia" w:cs="仿宋"/>
          <w:color w:val="000000"/>
          <w:u w:val="single"/>
        </w:rPr>
        <w:t>一</w:t>
      </w:r>
      <w:r>
        <w:rPr>
          <w:rFonts w:hint="eastAsia" w:cs="仿宋"/>
          <w:color w:val="000000"/>
        </w:rPr>
        <w:t>（</w:t>
      </w:r>
      <w:r>
        <w:rPr>
          <w:rFonts w:hint="eastAsia" w:cs="仿宋"/>
          <w:color w:val="000000"/>
          <w:u w:val="single"/>
        </w:rPr>
        <w:t xml:space="preserve"> 1 / 1000</w:t>
      </w:r>
      <w:r>
        <w:rPr>
          <w:rFonts w:hint="eastAsia" w:cs="仿宋"/>
          <w:color w:val="000000"/>
        </w:rPr>
        <w:t>）</w:t>
      </w:r>
      <w:r>
        <w:rPr>
          <w:rFonts w:hint="eastAsia"/>
          <w:color w:val="000000"/>
        </w:rPr>
        <w:t>向乙方支付违约金。</w:t>
      </w:r>
    </w:p>
    <w:p w14:paraId="374FDF42">
      <w:pPr>
        <w:adjustRightInd w:val="0"/>
        <w:snapToGrid w:val="0"/>
        <w:spacing w:line="360" w:lineRule="auto"/>
        <w:ind w:firstLine="480" w:firstLineChars="200"/>
        <w:rPr>
          <w:rFonts w:hint="eastAsia" w:cs="仿宋"/>
          <w:color w:val="000000"/>
        </w:rPr>
      </w:pPr>
      <w:r>
        <w:rPr>
          <w:rFonts w:hint="eastAsia" w:cs="仿宋"/>
          <w:color w:val="000000"/>
        </w:rPr>
        <w:t>2、在</w:t>
      </w:r>
      <w:r>
        <w:rPr>
          <w:rFonts w:hint="eastAsia"/>
          <w:color w:val="000000"/>
        </w:rPr>
        <w:t>乙方</w:t>
      </w:r>
      <w:r>
        <w:rPr>
          <w:rFonts w:hint="eastAsia" w:cs="仿宋"/>
          <w:color w:val="000000"/>
        </w:rPr>
        <w:t>送货过程中，如因甲方通知的到货地点有误，致使乙方无法按时交付的，乙方无需承担</w:t>
      </w:r>
      <w:r>
        <w:rPr>
          <w:rFonts w:hint="eastAsia"/>
          <w:color w:val="000000"/>
        </w:rPr>
        <w:t>迟延交付的</w:t>
      </w:r>
      <w:r>
        <w:rPr>
          <w:rFonts w:hint="eastAsia" w:cs="仿宋"/>
          <w:color w:val="000000"/>
        </w:rPr>
        <w:t>责任。</w:t>
      </w:r>
    </w:p>
    <w:p w14:paraId="7760DB77">
      <w:pPr>
        <w:adjustRightInd w:val="0"/>
        <w:snapToGrid w:val="0"/>
        <w:spacing w:line="360" w:lineRule="auto"/>
        <w:ind w:firstLine="480" w:firstLineChars="200"/>
        <w:rPr>
          <w:rFonts w:hint="eastAsia" w:cs="仿宋"/>
          <w:color w:val="000000"/>
        </w:rPr>
      </w:pPr>
      <w:r>
        <w:rPr>
          <w:rFonts w:hint="eastAsia" w:cs="仿宋"/>
          <w:color w:val="000000"/>
        </w:rPr>
        <w:t>（二）乙方违约责任</w:t>
      </w:r>
    </w:p>
    <w:p w14:paraId="6834ECB5">
      <w:pPr>
        <w:adjustRightInd w:val="0"/>
        <w:snapToGrid w:val="0"/>
        <w:spacing w:line="360" w:lineRule="auto"/>
        <w:ind w:firstLine="480" w:firstLineChars="200"/>
        <w:rPr>
          <w:rFonts w:hint="eastAsia" w:cs="仿宋"/>
          <w:color w:val="000000"/>
        </w:rPr>
      </w:pPr>
      <w:r>
        <w:rPr>
          <w:rFonts w:hint="eastAsia" w:cs="仿宋"/>
          <w:color w:val="000000"/>
        </w:rPr>
        <w:t>1、乙方逾期交付本合同产品的，乙方须每日按本合同价款的</w:t>
      </w:r>
      <w:r>
        <w:rPr>
          <w:rFonts w:hint="eastAsia" w:cs="仿宋"/>
          <w:color w:val="000000"/>
          <w:u w:val="single"/>
        </w:rPr>
        <w:t>千</w:t>
      </w:r>
      <w:r>
        <w:rPr>
          <w:rFonts w:hint="eastAsia" w:cs="仿宋"/>
          <w:color w:val="000000"/>
        </w:rPr>
        <w:t>分之</w:t>
      </w:r>
      <w:r>
        <w:rPr>
          <w:rFonts w:hint="eastAsia" w:cs="仿宋"/>
          <w:color w:val="000000"/>
          <w:u w:val="single"/>
        </w:rPr>
        <w:t>一</w:t>
      </w:r>
      <w:r>
        <w:rPr>
          <w:rFonts w:hint="eastAsia" w:cs="仿宋"/>
          <w:color w:val="000000"/>
        </w:rPr>
        <w:t>（</w:t>
      </w:r>
      <w:r>
        <w:rPr>
          <w:rFonts w:hint="eastAsia" w:cs="仿宋"/>
          <w:color w:val="000000"/>
          <w:u w:val="single"/>
        </w:rPr>
        <w:t xml:space="preserve">  1 /1000  </w:t>
      </w:r>
      <w:r>
        <w:rPr>
          <w:rFonts w:hint="eastAsia" w:cs="仿宋"/>
          <w:color w:val="000000"/>
        </w:rPr>
        <w:t>）向甲方支付违约金，超过【 20 】个工作日仍未交付的，甲方有权解除本合同并且不承担任何违约责任，乙方除了支付上述违约金外，还</w:t>
      </w:r>
      <w:r>
        <w:rPr>
          <w:rFonts w:hint="eastAsia"/>
          <w:color w:val="000000"/>
        </w:rPr>
        <w:t>应向甲方支付</w:t>
      </w:r>
      <w:r>
        <w:rPr>
          <w:rFonts w:hint="eastAsia" w:cs="仿宋"/>
          <w:color w:val="000000"/>
        </w:rPr>
        <w:t>本</w:t>
      </w:r>
      <w:r>
        <w:rPr>
          <w:rFonts w:hint="eastAsia"/>
          <w:color w:val="000000"/>
        </w:rPr>
        <w:t>合同总</w:t>
      </w:r>
      <w:r>
        <w:rPr>
          <w:rFonts w:hint="eastAsia" w:cs="仿宋"/>
          <w:color w:val="000000"/>
        </w:rPr>
        <w:t>金额</w:t>
      </w:r>
      <w:r>
        <w:rPr>
          <w:rFonts w:hint="eastAsia"/>
          <w:color w:val="000000"/>
        </w:rPr>
        <w:t>的</w:t>
      </w:r>
      <w:r>
        <w:rPr>
          <w:rFonts w:hint="eastAsia" w:cs="仿宋"/>
          <w:color w:val="000000"/>
        </w:rPr>
        <w:t>10%作为</w:t>
      </w:r>
      <w:r>
        <w:rPr>
          <w:rFonts w:hint="eastAsia"/>
          <w:color w:val="000000"/>
        </w:rPr>
        <w:t>违约金</w:t>
      </w:r>
      <w:r>
        <w:rPr>
          <w:rFonts w:hint="eastAsia" w:cs="仿宋"/>
          <w:color w:val="000000"/>
        </w:rPr>
        <w:t>。</w:t>
      </w:r>
    </w:p>
    <w:p w14:paraId="32C0AB2D">
      <w:pPr>
        <w:adjustRightInd w:val="0"/>
        <w:snapToGrid w:val="0"/>
        <w:spacing w:line="360" w:lineRule="auto"/>
        <w:ind w:firstLine="480" w:firstLineChars="200"/>
        <w:rPr>
          <w:rFonts w:hint="eastAsia" w:cs="仿宋"/>
          <w:color w:val="000000"/>
        </w:rPr>
      </w:pPr>
      <w:r>
        <w:rPr>
          <w:rFonts w:hint="eastAsia" w:cs="仿宋"/>
          <w:color w:val="000000"/>
        </w:rPr>
        <w:t>2、乙方未能在承诺的最终验收时间内完成的，每延迟一日，乙方须按本合同价款的</w:t>
      </w:r>
      <w:r>
        <w:rPr>
          <w:rFonts w:hint="eastAsia" w:cs="仿宋"/>
          <w:color w:val="000000"/>
          <w:u w:val="single"/>
        </w:rPr>
        <w:t>千</w:t>
      </w:r>
      <w:r>
        <w:rPr>
          <w:rFonts w:hint="eastAsia" w:cs="仿宋"/>
          <w:color w:val="000000"/>
        </w:rPr>
        <w:t>分之</w:t>
      </w:r>
      <w:r>
        <w:rPr>
          <w:rFonts w:hint="eastAsia" w:cs="仿宋"/>
          <w:color w:val="000000"/>
          <w:u w:val="single"/>
        </w:rPr>
        <w:t>五</w:t>
      </w:r>
      <w:r>
        <w:rPr>
          <w:rFonts w:hint="eastAsia" w:cs="仿宋"/>
          <w:color w:val="000000"/>
        </w:rPr>
        <w:t>（</w:t>
      </w:r>
      <w:r>
        <w:rPr>
          <w:rFonts w:hint="eastAsia" w:cs="仿宋"/>
          <w:color w:val="000000"/>
          <w:u w:val="single"/>
        </w:rPr>
        <w:t xml:space="preserve">  5 /1000  </w:t>
      </w:r>
      <w:r>
        <w:rPr>
          <w:rFonts w:hint="eastAsia" w:cs="仿宋"/>
          <w:color w:val="000000"/>
        </w:rPr>
        <w:t>）向</w:t>
      </w:r>
      <w:r>
        <w:rPr>
          <w:rFonts w:hint="eastAsia"/>
          <w:color w:val="000000"/>
        </w:rPr>
        <w:t>甲方</w:t>
      </w:r>
      <w:r>
        <w:rPr>
          <w:rFonts w:hint="eastAsia" w:cs="仿宋"/>
          <w:color w:val="000000"/>
        </w:rPr>
        <w:t>支付违约金；经过三次验收仍然不合格的，甲方</w:t>
      </w:r>
      <w:r>
        <w:rPr>
          <w:rFonts w:hint="eastAsia"/>
          <w:color w:val="000000"/>
        </w:rPr>
        <w:t>有权解除本合同</w:t>
      </w:r>
      <w:r>
        <w:rPr>
          <w:rFonts w:hint="eastAsia" w:cs="仿宋"/>
          <w:color w:val="000000"/>
        </w:rPr>
        <w:t>并且不承担任何违约责任，乙方除了支付上述违约金外，还</w:t>
      </w:r>
      <w:r>
        <w:rPr>
          <w:rFonts w:hint="eastAsia"/>
          <w:color w:val="000000"/>
        </w:rPr>
        <w:t>应</w:t>
      </w:r>
      <w:r>
        <w:rPr>
          <w:rFonts w:hint="eastAsia" w:cs="仿宋"/>
          <w:color w:val="000000"/>
        </w:rPr>
        <w:t>向甲方支付本合同总金额的10%作为违约金。由于甲方原因导致合同未在承诺时间内完成终验的情况除外。</w:t>
      </w:r>
    </w:p>
    <w:p w14:paraId="1D690592">
      <w:pPr>
        <w:adjustRightInd w:val="0"/>
        <w:snapToGrid w:val="0"/>
        <w:spacing w:line="360" w:lineRule="auto"/>
        <w:ind w:firstLine="480" w:firstLineChars="200"/>
        <w:rPr>
          <w:rFonts w:hint="eastAsia" w:cs="仿宋"/>
          <w:color w:val="000000"/>
        </w:rPr>
      </w:pPr>
      <w:r>
        <w:rPr>
          <w:rFonts w:hint="eastAsia" w:cs="仿宋"/>
          <w:color w:val="000000"/>
        </w:rPr>
        <w:t>3、因乙方所交付的产品质量出现问题而导致甲方损失的，乙方除全额</w:t>
      </w:r>
      <w:r>
        <w:rPr>
          <w:rFonts w:hint="eastAsia"/>
          <w:color w:val="000000"/>
        </w:rPr>
        <w:t>返还甲方</w:t>
      </w:r>
      <w:r>
        <w:rPr>
          <w:rFonts w:hint="eastAsia" w:cs="仿宋"/>
          <w:color w:val="000000"/>
        </w:rPr>
        <w:t>已</w:t>
      </w:r>
      <w:r>
        <w:rPr>
          <w:rFonts w:hint="eastAsia"/>
          <w:color w:val="000000"/>
        </w:rPr>
        <w:t>支付的全部</w:t>
      </w:r>
      <w:r>
        <w:rPr>
          <w:rFonts w:hint="eastAsia" w:cs="仿宋"/>
          <w:color w:val="000000"/>
        </w:rPr>
        <w:t>费用外，还应负责</w:t>
      </w:r>
      <w:r>
        <w:rPr>
          <w:rFonts w:hint="eastAsia"/>
          <w:color w:val="000000"/>
        </w:rPr>
        <w:t>赔偿</w:t>
      </w:r>
      <w:r>
        <w:rPr>
          <w:rFonts w:hint="eastAsia" w:cs="仿宋"/>
          <w:color w:val="000000"/>
        </w:rPr>
        <w:t>甲方</w:t>
      </w:r>
      <w:r>
        <w:rPr>
          <w:rFonts w:hint="eastAsia"/>
          <w:color w:val="000000"/>
        </w:rPr>
        <w:t>因此</w:t>
      </w:r>
      <w:r>
        <w:rPr>
          <w:rFonts w:hint="eastAsia" w:cs="仿宋"/>
          <w:color w:val="000000"/>
        </w:rPr>
        <w:t>遭受的全部直接经济损失，包括但不限于甲方支付的维修费用、向第三方支付的赔偿金以及因索赔而产生的诉讼费、律师费等全部支出。</w:t>
      </w:r>
    </w:p>
    <w:p w14:paraId="12F56082">
      <w:pPr>
        <w:adjustRightInd w:val="0"/>
        <w:snapToGrid w:val="0"/>
        <w:spacing w:line="360" w:lineRule="auto"/>
        <w:ind w:firstLine="480" w:firstLineChars="200"/>
        <w:rPr>
          <w:rFonts w:hint="eastAsia" w:cs="仿宋"/>
          <w:color w:val="000000"/>
        </w:rPr>
      </w:pPr>
      <w:r>
        <w:rPr>
          <w:rFonts w:hint="eastAsia" w:cs="仿宋"/>
          <w:color w:val="000000"/>
        </w:rPr>
        <w:t>4、除本合同另有约定外，乙方违反本合同售后服务、培训等其他义务的，每延迟一日，乙方须按本合同价款的千分之五（  5 /1000  ）向甲方支付违约金，同时甲方有权解除本合同并且不承担任何违约责任，乙方除了支付上述违约金外，还应向甲方支付本合同总金额的10%作为违约金。</w:t>
      </w:r>
    </w:p>
    <w:p w14:paraId="439F4053">
      <w:pPr>
        <w:adjustRightInd w:val="0"/>
        <w:snapToGrid w:val="0"/>
        <w:spacing w:line="360" w:lineRule="auto"/>
        <w:ind w:firstLine="480" w:firstLineChars="200"/>
        <w:rPr>
          <w:rFonts w:hint="eastAsia" w:cs="仿宋"/>
          <w:color w:val="000000"/>
        </w:rPr>
      </w:pPr>
      <w:r>
        <w:rPr>
          <w:rFonts w:hint="eastAsia" w:cs="仿宋"/>
          <w:color w:val="000000"/>
        </w:rPr>
        <w:t>5、乙方应切实加强现场管理确保安全施工，对现场施工及维护人员进行安全教育和安全交底，保证遵守安全施工的相关管理规定，乙方对现场施工及维护人员的人身和财产损害全权负责。</w:t>
      </w:r>
    </w:p>
    <w:p w14:paraId="3ADB2B54">
      <w:pPr>
        <w:spacing w:line="360" w:lineRule="auto"/>
        <w:ind w:firstLine="482" w:firstLineChars="200"/>
        <w:rPr>
          <w:rFonts w:hint="eastAsia" w:cs="仿宋"/>
          <w:b/>
          <w:bCs/>
        </w:rPr>
      </w:pPr>
      <w:r>
        <w:rPr>
          <w:rFonts w:hint="eastAsia" w:cs="仿宋"/>
          <w:b/>
          <w:bCs/>
        </w:rPr>
        <w:t>第九条  合同变更</w:t>
      </w:r>
    </w:p>
    <w:p w14:paraId="7851AC4D">
      <w:pPr>
        <w:pStyle w:val="85"/>
        <w:numPr>
          <w:ilvl w:val="1"/>
          <w:numId w:val="0"/>
        </w:numPr>
        <w:wordWrap/>
        <w:spacing w:beforeLines="0" w:line="360" w:lineRule="auto"/>
        <w:ind w:firstLine="480" w:firstLineChars="200"/>
        <w:outlineLvl w:val="9"/>
        <w:rPr>
          <w:rFonts w:hint="eastAsia" w:ascii="宋体" w:hAnsi="宋体" w:eastAsia="宋体" w:cs="仿宋"/>
          <w:sz w:val="24"/>
          <w:szCs w:val="24"/>
        </w:rPr>
      </w:pPr>
      <w:r>
        <w:rPr>
          <w:rFonts w:hint="eastAsia" w:ascii="宋体" w:hAnsi="宋体" w:eastAsia="宋体" w:cs="仿宋"/>
          <w:sz w:val="24"/>
          <w:szCs w:val="24"/>
        </w:rPr>
        <w:t>本合同履行中，如任何一方需变更本合同的部分内容必须在</w:t>
      </w:r>
      <w:r>
        <w:rPr>
          <w:rFonts w:hint="eastAsia" w:ascii="宋体" w:hAnsi="宋体" w:eastAsia="宋体" w:cs="仿宋"/>
          <w:sz w:val="24"/>
          <w:szCs w:val="24"/>
          <w:u w:val="single"/>
        </w:rPr>
        <w:t xml:space="preserve"> 3 </w:t>
      </w:r>
      <w:r>
        <w:rPr>
          <w:rFonts w:hint="eastAsia" w:ascii="宋体" w:hAnsi="宋体" w:eastAsia="宋体" w:cs="仿宋"/>
          <w:sz w:val="24"/>
          <w:szCs w:val="24"/>
        </w:rPr>
        <w:t>日前提出，征得对方同意并签订补充合同，作为本合同的附件，补充合同与本合同具有同等法律效力。</w:t>
      </w:r>
    </w:p>
    <w:p w14:paraId="4F7F7CD4">
      <w:pPr>
        <w:spacing w:line="360" w:lineRule="auto"/>
        <w:ind w:firstLine="482" w:firstLineChars="200"/>
        <w:rPr>
          <w:rFonts w:hint="eastAsia" w:cs="仿宋"/>
          <w:b/>
          <w:bCs/>
        </w:rPr>
      </w:pPr>
      <w:r>
        <w:rPr>
          <w:rFonts w:hint="eastAsia" w:cs="仿宋"/>
          <w:b/>
          <w:bCs/>
        </w:rPr>
        <w:t>第十条　不可抗力</w:t>
      </w:r>
    </w:p>
    <w:p w14:paraId="20C7492F">
      <w:pPr>
        <w:pStyle w:val="85"/>
        <w:numPr>
          <w:ilvl w:val="0"/>
          <w:numId w:val="0"/>
        </w:numPr>
        <w:wordWrap/>
        <w:spacing w:beforeLines="0" w:line="360" w:lineRule="auto"/>
        <w:ind w:firstLine="480" w:firstLineChars="200"/>
        <w:outlineLvl w:val="9"/>
        <w:rPr>
          <w:rFonts w:hint="eastAsia" w:ascii="宋体" w:hAnsi="宋体" w:eastAsia="宋体" w:cs="仿宋"/>
          <w:sz w:val="24"/>
          <w:szCs w:val="24"/>
        </w:rPr>
      </w:pPr>
      <w:r>
        <w:rPr>
          <w:rFonts w:hint="eastAsia" w:ascii="宋体" w:hAnsi="宋体" w:eastAsia="宋体" w:cs="仿宋"/>
          <w:sz w:val="24"/>
          <w:szCs w:val="24"/>
        </w:rPr>
        <w:t>1、因受不可抗力影响而不能履行或不能完全履行本合同的一方可以部分或全部免除履行其责任。</w:t>
      </w:r>
    </w:p>
    <w:p w14:paraId="0F119D12">
      <w:pPr>
        <w:pStyle w:val="85"/>
        <w:numPr>
          <w:ilvl w:val="0"/>
          <w:numId w:val="0"/>
        </w:numPr>
        <w:wordWrap/>
        <w:spacing w:beforeLines="0" w:line="360" w:lineRule="auto"/>
        <w:ind w:firstLine="480" w:firstLineChars="200"/>
        <w:outlineLvl w:val="9"/>
        <w:rPr>
          <w:rFonts w:hint="eastAsia" w:ascii="宋体" w:hAnsi="宋体" w:eastAsia="宋体" w:cs="仿宋"/>
          <w:sz w:val="24"/>
          <w:szCs w:val="24"/>
        </w:rPr>
      </w:pPr>
      <w:r>
        <w:rPr>
          <w:rFonts w:hint="eastAsia" w:ascii="宋体" w:hAnsi="宋体" w:eastAsia="宋体" w:cs="仿宋"/>
          <w:sz w:val="24"/>
          <w:szCs w:val="24"/>
        </w:rPr>
        <w:t>2、“不可抗力”是指在本合同签订后发生的、受影响一方无法预见、无法避免并无法克服的客观情况。此等事件包括但不限于水灾、火灾、旱灾、台风、地震及其它自然灾害，罢工、骚动、暴乱及战争（不论宣战与否）以及政府部门的作为或不作为。</w:t>
      </w:r>
    </w:p>
    <w:p w14:paraId="01650A49">
      <w:pPr>
        <w:pStyle w:val="85"/>
        <w:numPr>
          <w:ilvl w:val="0"/>
          <w:numId w:val="0"/>
        </w:numPr>
        <w:wordWrap/>
        <w:spacing w:beforeLines="0" w:line="360" w:lineRule="auto"/>
        <w:ind w:firstLine="480" w:firstLineChars="200"/>
        <w:outlineLvl w:val="9"/>
        <w:rPr>
          <w:rFonts w:hint="eastAsia" w:ascii="宋体" w:hAnsi="宋体" w:eastAsia="宋体" w:cs="仿宋"/>
          <w:sz w:val="24"/>
          <w:szCs w:val="24"/>
        </w:rPr>
      </w:pPr>
      <w:r>
        <w:rPr>
          <w:rFonts w:hint="eastAsia" w:ascii="宋体" w:hAnsi="宋体" w:eastAsia="宋体" w:cs="仿宋"/>
          <w:sz w:val="24"/>
          <w:szCs w:val="24"/>
        </w:rPr>
        <w:t>3、不可抗力发生后，受不可抗力影响一方须及时将事件情况通知对方，并在15天内提供事件详细报告以及合同不能履行或部分不能履行的有效证明文件。根据事件对履行合同的影响程度，双方协商决定是否解除合同、部分免除履行合同或延期履行。</w:t>
      </w:r>
    </w:p>
    <w:p w14:paraId="2621BF37">
      <w:pPr>
        <w:spacing w:line="360" w:lineRule="auto"/>
        <w:ind w:firstLine="482" w:firstLineChars="200"/>
        <w:rPr>
          <w:rFonts w:hint="eastAsia" w:cs="仿宋"/>
          <w:b/>
          <w:bCs/>
        </w:rPr>
      </w:pPr>
      <w:r>
        <w:rPr>
          <w:rFonts w:hint="eastAsia" w:cs="仿宋"/>
          <w:b/>
          <w:bCs/>
        </w:rPr>
        <w:t>第十一条　知识产权及保密</w:t>
      </w:r>
    </w:p>
    <w:p w14:paraId="34F34BF5">
      <w:pPr>
        <w:adjustRightInd w:val="0"/>
        <w:snapToGrid w:val="0"/>
        <w:spacing w:line="360" w:lineRule="auto"/>
        <w:ind w:firstLine="480" w:firstLineChars="200"/>
        <w:rPr>
          <w:rFonts w:hint="eastAsia" w:cs="仿宋"/>
          <w:color w:val="000000"/>
        </w:rPr>
      </w:pPr>
      <w:r>
        <w:rPr>
          <w:rFonts w:hint="eastAsia" w:cs="仿宋"/>
          <w:color w:val="000000"/>
        </w:rPr>
        <w:t>（一）保密</w:t>
      </w:r>
    </w:p>
    <w:p w14:paraId="643DA373">
      <w:pPr>
        <w:adjustRightInd w:val="0"/>
        <w:snapToGrid w:val="0"/>
        <w:spacing w:line="360" w:lineRule="auto"/>
        <w:ind w:firstLine="480" w:firstLineChars="200"/>
        <w:rPr>
          <w:rFonts w:hint="eastAsia" w:cs="仿宋"/>
          <w:kern w:val="21"/>
        </w:rPr>
      </w:pPr>
      <w:r>
        <w:rPr>
          <w:rFonts w:hint="eastAsia" w:cs="仿宋"/>
          <w:kern w:val="21"/>
        </w:rPr>
        <w:t>1、保密信息</w:t>
      </w:r>
    </w:p>
    <w:p w14:paraId="106BEB3E">
      <w:pPr>
        <w:adjustRightInd w:val="0"/>
        <w:snapToGrid w:val="0"/>
        <w:spacing w:line="360" w:lineRule="auto"/>
        <w:ind w:firstLine="480" w:firstLineChars="200"/>
        <w:rPr>
          <w:rFonts w:hint="eastAsia" w:cs="仿宋"/>
          <w:kern w:val="21"/>
        </w:rPr>
      </w:pPr>
      <w:r>
        <w:rPr>
          <w:rFonts w:hint="eastAsia" w:cs="仿宋"/>
          <w:kern w:val="21"/>
        </w:rPr>
        <w:t>本合同保密信息特指乙方因履行本合同而知悉的甲方的行政文件、会议纪要、内部信息、内部规范性文件或规章制度以及其他任何甲方尚未对外公开的信息或资料。</w:t>
      </w:r>
    </w:p>
    <w:p w14:paraId="05B8C7E7">
      <w:pPr>
        <w:adjustRightInd w:val="0"/>
        <w:snapToGrid w:val="0"/>
        <w:spacing w:line="360" w:lineRule="auto"/>
        <w:ind w:firstLine="480" w:firstLineChars="200"/>
        <w:rPr>
          <w:rFonts w:hint="eastAsia" w:cs="仿宋"/>
          <w:kern w:val="21"/>
        </w:rPr>
      </w:pPr>
      <w:r>
        <w:rPr>
          <w:rFonts w:hint="eastAsia" w:cs="仿宋"/>
          <w:kern w:val="21"/>
        </w:rPr>
        <w:t>2、保密期限</w:t>
      </w:r>
    </w:p>
    <w:p w14:paraId="18D7950F">
      <w:pPr>
        <w:adjustRightInd w:val="0"/>
        <w:snapToGrid w:val="0"/>
        <w:spacing w:line="360" w:lineRule="auto"/>
        <w:ind w:firstLine="480" w:firstLineChars="200"/>
        <w:rPr>
          <w:rFonts w:hint="eastAsia" w:cs="仿宋"/>
          <w:kern w:val="21"/>
        </w:rPr>
      </w:pPr>
      <w:r>
        <w:rPr>
          <w:rFonts w:hint="eastAsia" w:cs="仿宋"/>
          <w:kern w:val="21"/>
        </w:rPr>
        <w:t>自本合同生效之日起至相关保密信息公开为止。本合同项下的保密义务不因本合同的终止、解除而终止。</w:t>
      </w:r>
    </w:p>
    <w:p w14:paraId="0DFC136F">
      <w:pPr>
        <w:adjustRightInd w:val="0"/>
        <w:snapToGrid w:val="0"/>
        <w:spacing w:line="360" w:lineRule="auto"/>
        <w:ind w:firstLine="480" w:firstLineChars="200"/>
        <w:rPr>
          <w:rFonts w:hint="eastAsia" w:cs="仿宋"/>
          <w:kern w:val="21"/>
        </w:rPr>
      </w:pPr>
      <w:r>
        <w:rPr>
          <w:rFonts w:hint="eastAsia" w:cs="仿宋"/>
          <w:kern w:val="21"/>
        </w:rPr>
        <w:t>3、披露和使用保密信息的限制</w:t>
      </w:r>
    </w:p>
    <w:p w14:paraId="0C8A732C">
      <w:pPr>
        <w:adjustRightInd w:val="0"/>
        <w:snapToGrid w:val="0"/>
        <w:spacing w:line="360" w:lineRule="auto"/>
        <w:ind w:firstLine="480" w:firstLineChars="200"/>
        <w:rPr>
          <w:rFonts w:hint="eastAsia" w:cs="仿宋"/>
          <w:kern w:val="21"/>
        </w:rPr>
      </w:pPr>
      <w:r>
        <w:rPr>
          <w:rFonts w:hint="eastAsia" w:cs="仿宋"/>
          <w:kern w:val="21"/>
        </w:rPr>
        <w:t>乙方应将保密信息的使用限制在乙方及乙方相关工作人员范围内，乙方只可将保密信息用于本合同之目的。乙方须确保其工作人员知悉且同意本条款的内容并确保受其约束。乙方同意，除非按法律法规规定、司法机关或有关监管机构的要求披露外，未经甲方事先书面同意，乙方及乙方工作人员不得向任何第三方披露、转让、复制保密信息或以其他方式谋取任何利益，也不以任何形式为本合同目的以外的目的使用保密信息。</w:t>
      </w:r>
    </w:p>
    <w:p w14:paraId="6B56E854">
      <w:pPr>
        <w:adjustRightInd w:val="0"/>
        <w:snapToGrid w:val="0"/>
        <w:spacing w:line="360" w:lineRule="auto"/>
        <w:ind w:firstLine="480" w:firstLineChars="200"/>
        <w:rPr>
          <w:rFonts w:hint="eastAsia" w:cs="仿宋"/>
          <w:kern w:val="21"/>
        </w:rPr>
      </w:pPr>
      <w:r>
        <w:rPr>
          <w:rFonts w:hint="eastAsia" w:cs="仿宋"/>
          <w:kern w:val="21"/>
        </w:rPr>
        <w:t>4、违约责任</w:t>
      </w:r>
    </w:p>
    <w:p w14:paraId="3B5962F7">
      <w:pPr>
        <w:adjustRightInd w:val="0"/>
        <w:snapToGrid w:val="0"/>
        <w:spacing w:line="360" w:lineRule="auto"/>
        <w:ind w:firstLine="480" w:firstLineChars="200"/>
        <w:rPr>
          <w:rFonts w:hint="eastAsia" w:cs="仿宋"/>
          <w:kern w:val="21"/>
        </w:rPr>
      </w:pPr>
      <w:r>
        <w:rPr>
          <w:rFonts w:hint="eastAsia" w:cs="仿宋"/>
          <w:kern w:val="21"/>
        </w:rPr>
        <w:t>乙方或乙方工作人员违反保密义务的，乙方需按照本合同总价款的10%承担违约责任，并赔偿由此给甲方造成的损失。</w:t>
      </w:r>
    </w:p>
    <w:p w14:paraId="6C08A571">
      <w:pPr>
        <w:adjustRightInd w:val="0"/>
        <w:snapToGrid w:val="0"/>
        <w:spacing w:line="360" w:lineRule="auto"/>
        <w:ind w:firstLine="480" w:firstLineChars="200"/>
        <w:rPr>
          <w:rFonts w:hint="eastAsia" w:cs="仿宋"/>
          <w:kern w:val="21"/>
        </w:rPr>
      </w:pPr>
      <w:r>
        <w:rPr>
          <w:rFonts w:hint="eastAsia" w:cs="仿宋"/>
          <w:kern w:val="21"/>
        </w:rPr>
        <w:t>5、保密信息的返还或销毁</w:t>
      </w:r>
    </w:p>
    <w:p w14:paraId="143AD4A7">
      <w:pPr>
        <w:adjustRightInd w:val="0"/>
        <w:snapToGrid w:val="0"/>
        <w:spacing w:line="360" w:lineRule="auto"/>
        <w:ind w:firstLine="480" w:firstLineChars="200"/>
        <w:rPr>
          <w:rFonts w:hint="eastAsia" w:cs="仿宋"/>
          <w:kern w:val="21"/>
        </w:rPr>
      </w:pPr>
      <w:r>
        <w:rPr>
          <w:rFonts w:hint="eastAsia" w:cs="仿宋"/>
          <w:kern w:val="21"/>
        </w:rPr>
        <w:t>本合同解除或终止时，如甲方要求乙方返还或销毁任何依本合同而提供的保密信息及其复印件，乙方应在甲方要求的时间内返还或销毁。</w:t>
      </w:r>
    </w:p>
    <w:p w14:paraId="42EC2D87">
      <w:pPr>
        <w:adjustRightInd w:val="0"/>
        <w:snapToGrid w:val="0"/>
        <w:spacing w:line="360" w:lineRule="auto"/>
        <w:ind w:firstLine="480" w:firstLineChars="200"/>
        <w:rPr>
          <w:rFonts w:hint="eastAsia" w:cs="仿宋"/>
          <w:color w:val="000000"/>
        </w:rPr>
      </w:pPr>
      <w:r>
        <w:rPr>
          <w:rFonts w:hint="eastAsia" w:cs="仿宋"/>
          <w:color w:val="000000"/>
        </w:rPr>
        <w:t>（二）知识产权</w:t>
      </w:r>
    </w:p>
    <w:p w14:paraId="25542B45">
      <w:pPr>
        <w:adjustRightInd w:val="0"/>
        <w:snapToGrid w:val="0"/>
        <w:spacing w:line="360" w:lineRule="auto"/>
        <w:ind w:firstLine="480" w:firstLineChars="200"/>
        <w:rPr>
          <w:rFonts w:hint="eastAsia" w:cs="仿宋"/>
          <w:kern w:val="21"/>
        </w:rPr>
      </w:pPr>
      <w:r>
        <w:rPr>
          <w:rFonts w:hint="eastAsia" w:cs="仿宋"/>
          <w:kern w:val="21"/>
        </w:rPr>
        <w:t>1、甲乙双方均独立拥有自己的商标、发明、版权、专利或其他知识产权。本合同没有给予或暗示对方可以在本合同约定范围外使用上述内容的权利或许可。</w:t>
      </w:r>
    </w:p>
    <w:p w14:paraId="2E0286B8">
      <w:pPr>
        <w:adjustRightInd w:val="0"/>
        <w:snapToGrid w:val="0"/>
        <w:spacing w:line="360" w:lineRule="auto"/>
        <w:ind w:firstLine="480" w:firstLineChars="200"/>
        <w:rPr>
          <w:rFonts w:hint="eastAsia" w:cs="仿宋"/>
          <w:kern w:val="21"/>
        </w:rPr>
      </w:pPr>
      <w:r>
        <w:rPr>
          <w:rFonts w:hint="eastAsia" w:cs="仿宋"/>
          <w:kern w:val="21"/>
        </w:rPr>
        <w:t>2、未经对方书面批准，甲乙双方不得直接或间接在任何广告、新闻或专业/贸易出版物等中使用对方的名称标志等。</w:t>
      </w:r>
    </w:p>
    <w:p w14:paraId="33E1DDC0">
      <w:pPr>
        <w:adjustRightInd w:val="0"/>
        <w:snapToGrid w:val="0"/>
        <w:spacing w:line="360" w:lineRule="auto"/>
        <w:ind w:firstLine="480" w:firstLineChars="200"/>
        <w:rPr>
          <w:rFonts w:hint="eastAsia" w:cs="仿宋"/>
          <w:kern w:val="21"/>
        </w:rPr>
      </w:pPr>
      <w:r>
        <w:rPr>
          <w:rFonts w:hint="eastAsia" w:cs="仿宋"/>
          <w:kern w:val="21"/>
        </w:rPr>
        <w:t>3、如第三方声称乙方交付甲方的产品侵犯其商标权、专利权等知识产权或其他合法权益，乙方应无条件自费就上述权利主张协助甲方进行抗辩，并支付裁判机关最终裁判的或经甲方同意的和解协议中应由甲方承担的全部费用，并赔偿因此给甲方造成的全部损失，同时全额返还甲方已支付的全部费用。</w:t>
      </w:r>
    </w:p>
    <w:p w14:paraId="42B96DCB">
      <w:pPr>
        <w:adjustRightInd w:val="0"/>
        <w:snapToGrid w:val="0"/>
        <w:spacing w:line="360" w:lineRule="auto"/>
        <w:ind w:firstLine="480" w:firstLineChars="200"/>
        <w:rPr>
          <w:rFonts w:hint="eastAsia" w:cs="仿宋"/>
          <w:kern w:val="21"/>
        </w:rPr>
      </w:pPr>
      <w:r>
        <w:rPr>
          <w:rFonts w:hint="eastAsia" w:cs="仿宋"/>
          <w:kern w:val="21"/>
        </w:rPr>
        <w:t>4、合同履行过程中，乙方利用本合同涉及的技术资料和工作条件完成的新的技术成果，属于甲方。</w:t>
      </w:r>
    </w:p>
    <w:p w14:paraId="7099E6EE">
      <w:pPr>
        <w:spacing w:line="360" w:lineRule="auto"/>
        <w:ind w:firstLine="482" w:firstLineChars="200"/>
        <w:rPr>
          <w:rFonts w:hint="eastAsia" w:cs="仿宋"/>
          <w:b/>
          <w:bCs/>
        </w:rPr>
      </w:pPr>
      <w:r>
        <w:rPr>
          <w:rFonts w:hint="eastAsia" w:cs="仿宋"/>
          <w:b/>
          <w:bCs/>
        </w:rPr>
        <w:t>第十二条　通知</w:t>
      </w:r>
    </w:p>
    <w:p w14:paraId="5614D19A">
      <w:pPr>
        <w:spacing w:line="360" w:lineRule="auto"/>
        <w:ind w:firstLine="480" w:firstLineChars="200"/>
        <w:rPr>
          <w:rFonts w:hint="eastAsia" w:cs="仿宋"/>
          <w:color w:val="000000"/>
        </w:rPr>
      </w:pPr>
      <w:r>
        <w:rPr>
          <w:rFonts w:hint="eastAsia" w:cs="仿宋"/>
          <w:color w:val="000000"/>
        </w:rPr>
        <w:t>（一）甲乙双方因履行本合同而相互发出的所有通知、文件、资料等，均应按照本合同所列明的通讯地址以邮寄的方式送达；一方如果迁址或者变更电话，应当书面通知对方。通过邮寄方式送达的，挂号或快递邮件寄出或者投邮当日视为送达。</w:t>
      </w:r>
    </w:p>
    <w:p w14:paraId="796C3023">
      <w:pPr>
        <w:spacing w:line="360" w:lineRule="auto"/>
        <w:ind w:firstLine="480" w:firstLineChars="200"/>
        <w:rPr>
          <w:rFonts w:hint="eastAsia" w:cs="仿宋"/>
          <w:color w:val="000000"/>
        </w:rPr>
      </w:pPr>
      <w:r>
        <w:rPr>
          <w:rFonts w:hint="eastAsia" w:cs="仿宋"/>
          <w:color w:val="000000"/>
        </w:rPr>
        <w:t>（二）一方变更通讯地址，应自变更之日起3日内，以书面形式通知对方；否则，由未通知方承担由此而引起的责任。</w:t>
      </w:r>
    </w:p>
    <w:p w14:paraId="2701BAB6">
      <w:pPr>
        <w:spacing w:line="360" w:lineRule="auto"/>
        <w:ind w:firstLine="482" w:firstLineChars="200"/>
        <w:rPr>
          <w:rFonts w:hint="eastAsia"/>
          <w:b/>
        </w:rPr>
      </w:pPr>
      <w:r>
        <w:rPr>
          <w:rFonts w:hint="eastAsia" w:cs="仿宋"/>
          <w:b/>
          <w:bCs/>
        </w:rPr>
        <w:t xml:space="preserve">第十三条  </w:t>
      </w:r>
      <w:r>
        <w:rPr>
          <w:rFonts w:hint="eastAsia"/>
          <w:b/>
        </w:rPr>
        <w:t>争议解决</w:t>
      </w:r>
      <w:r>
        <w:rPr>
          <w:rFonts w:hint="eastAsia" w:cs="仿宋"/>
          <w:b/>
          <w:bCs/>
        </w:rPr>
        <w:t>和法律适用</w:t>
      </w:r>
    </w:p>
    <w:p w14:paraId="4210D3B7">
      <w:pPr>
        <w:pStyle w:val="86"/>
        <w:spacing w:beforeAutospacing="0" w:after="0" w:afterAutospacing="0" w:line="360" w:lineRule="auto"/>
        <w:ind w:firstLine="480" w:firstLineChars="200"/>
        <w:rPr>
          <w:rFonts w:hint="eastAsia" w:eastAsia="宋体" w:cs="仿宋"/>
          <w:sz w:val="24"/>
          <w:szCs w:val="24"/>
        </w:rPr>
      </w:pPr>
      <w:r>
        <w:rPr>
          <w:rFonts w:hint="eastAsia" w:eastAsia="宋体" w:cs="仿宋"/>
          <w:sz w:val="24"/>
          <w:szCs w:val="24"/>
        </w:rPr>
        <w:t>（一）甲乙</w:t>
      </w:r>
      <w:r>
        <w:rPr>
          <w:rFonts w:hint="eastAsia" w:eastAsia="宋体"/>
          <w:sz w:val="24"/>
          <w:szCs w:val="24"/>
        </w:rPr>
        <w:t>双方应</w:t>
      </w:r>
      <w:r>
        <w:rPr>
          <w:rFonts w:hint="eastAsia" w:eastAsia="宋体" w:cs="仿宋"/>
          <w:sz w:val="24"/>
          <w:szCs w:val="24"/>
        </w:rPr>
        <w:t>以</w:t>
      </w:r>
      <w:r>
        <w:rPr>
          <w:rFonts w:hint="eastAsia" w:eastAsia="宋体"/>
          <w:sz w:val="24"/>
          <w:szCs w:val="24"/>
        </w:rPr>
        <w:t>友好协商</w:t>
      </w:r>
      <w:r>
        <w:rPr>
          <w:rFonts w:hint="eastAsia" w:eastAsia="宋体" w:cs="仿宋"/>
          <w:sz w:val="24"/>
          <w:szCs w:val="24"/>
        </w:rPr>
        <w:t>方式</w:t>
      </w:r>
      <w:r>
        <w:rPr>
          <w:rFonts w:hint="eastAsia" w:eastAsia="宋体"/>
          <w:sz w:val="24"/>
          <w:szCs w:val="24"/>
        </w:rPr>
        <w:t>解决</w:t>
      </w:r>
      <w:r>
        <w:rPr>
          <w:rFonts w:hint="eastAsia" w:eastAsia="宋体" w:cs="仿宋"/>
          <w:sz w:val="24"/>
          <w:szCs w:val="24"/>
        </w:rPr>
        <w:t>本合同履行过程中产生的争议，经</w:t>
      </w:r>
      <w:r>
        <w:rPr>
          <w:rFonts w:hint="eastAsia" w:eastAsia="宋体"/>
          <w:sz w:val="24"/>
          <w:szCs w:val="24"/>
        </w:rPr>
        <w:t>协商</w:t>
      </w:r>
      <w:r>
        <w:rPr>
          <w:rFonts w:hint="eastAsia" w:eastAsia="宋体" w:cs="仿宋"/>
          <w:sz w:val="24"/>
          <w:szCs w:val="24"/>
        </w:rPr>
        <w:t>无法</w:t>
      </w:r>
      <w:r>
        <w:rPr>
          <w:rFonts w:hint="eastAsia" w:eastAsia="宋体"/>
          <w:sz w:val="24"/>
          <w:szCs w:val="24"/>
        </w:rPr>
        <w:t>解决</w:t>
      </w:r>
      <w:r>
        <w:rPr>
          <w:rFonts w:hint="eastAsia" w:eastAsia="宋体" w:cs="仿宋"/>
          <w:sz w:val="24"/>
          <w:szCs w:val="24"/>
        </w:rPr>
        <w:t>争议时，任何一方均可向甲方所在地人民法院提起诉讼。</w:t>
      </w:r>
    </w:p>
    <w:p w14:paraId="14BD7FE6">
      <w:pPr>
        <w:adjustRightInd w:val="0"/>
        <w:snapToGrid w:val="0"/>
        <w:spacing w:line="360" w:lineRule="auto"/>
        <w:ind w:firstLine="480" w:firstLineChars="200"/>
        <w:rPr>
          <w:rFonts w:hint="eastAsia" w:cs="仿宋"/>
          <w:color w:val="000000"/>
        </w:rPr>
      </w:pPr>
      <w:r>
        <w:rPr>
          <w:rFonts w:hint="eastAsia" w:cs="仿宋"/>
          <w:color w:val="000000"/>
        </w:rPr>
        <w:t>（二）本合同适用中华人民共和国法律。</w:t>
      </w:r>
    </w:p>
    <w:p w14:paraId="191D93CB">
      <w:pPr>
        <w:spacing w:line="360" w:lineRule="auto"/>
        <w:ind w:firstLine="482" w:firstLineChars="200"/>
        <w:rPr>
          <w:rFonts w:hint="eastAsia"/>
          <w:b/>
        </w:rPr>
      </w:pPr>
      <w:r>
        <w:rPr>
          <w:rFonts w:hint="eastAsia" w:cs="仿宋"/>
          <w:b/>
          <w:bCs/>
        </w:rPr>
        <w:t>第十四条　</w:t>
      </w:r>
      <w:r>
        <w:rPr>
          <w:rFonts w:hint="eastAsia"/>
          <w:b/>
        </w:rPr>
        <w:t>其他</w:t>
      </w:r>
      <w:r>
        <w:rPr>
          <w:rFonts w:hint="eastAsia" w:cs="仿宋"/>
          <w:b/>
          <w:bCs/>
        </w:rPr>
        <w:t>条款</w:t>
      </w:r>
    </w:p>
    <w:p w14:paraId="66055CF2">
      <w:pPr>
        <w:pStyle w:val="86"/>
        <w:spacing w:beforeAutospacing="0" w:after="0" w:afterAutospacing="0" w:line="360" w:lineRule="auto"/>
        <w:ind w:firstLine="480" w:firstLineChars="200"/>
        <w:rPr>
          <w:rFonts w:hint="eastAsia" w:eastAsia="宋体" w:cs="仿宋"/>
          <w:kern w:val="2"/>
          <w:sz w:val="24"/>
          <w:szCs w:val="24"/>
        </w:rPr>
      </w:pPr>
      <w:r>
        <w:rPr>
          <w:rFonts w:hint="eastAsia" w:eastAsia="宋体" w:cs="仿宋"/>
          <w:kern w:val="2"/>
          <w:sz w:val="24"/>
          <w:szCs w:val="24"/>
        </w:rPr>
        <w:t>（一）本合同自双方法定代表人/授权代表签字并加盖双方公章或合同专用章之日起生效，并自甲乙双方履行完本合同规定的全部义务后自动终止。</w:t>
      </w:r>
    </w:p>
    <w:p w14:paraId="23DAB7B9">
      <w:pPr>
        <w:adjustRightInd w:val="0"/>
        <w:snapToGrid w:val="0"/>
        <w:spacing w:line="360" w:lineRule="auto"/>
        <w:ind w:firstLine="480" w:firstLineChars="200"/>
        <w:rPr>
          <w:rFonts w:hint="eastAsia" w:cs="仿宋"/>
          <w:color w:val="000000"/>
          <w:kern w:val="2"/>
        </w:rPr>
      </w:pPr>
      <w:r>
        <w:rPr>
          <w:rFonts w:hint="eastAsia" w:cs="仿宋"/>
          <w:color w:val="000000"/>
          <w:kern w:val="2"/>
        </w:rPr>
        <w:t>（二）本合同未尽事宜将由双方另行商定解决。</w:t>
      </w:r>
    </w:p>
    <w:p w14:paraId="052DCBCB">
      <w:pPr>
        <w:adjustRightInd w:val="0"/>
        <w:snapToGrid w:val="0"/>
        <w:spacing w:line="360" w:lineRule="auto"/>
        <w:ind w:firstLine="480" w:firstLineChars="200"/>
        <w:rPr>
          <w:rFonts w:hint="eastAsia" w:cs="仿宋"/>
          <w:color w:val="000000"/>
          <w:kern w:val="2"/>
        </w:rPr>
      </w:pPr>
      <w:r>
        <w:rPr>
          <w:rFonts w:hint="eastAsia" w:cs="仿宋"/>
          <w:color w:val="000000"/>
          <w:kern w:val="2"/>
        </w:rPr>
        <w:t>（三）本合同一式陆份，双方各执叁份，具有同等法律效力。</w:t>
      </w:r>
    </w:p>
    <w:p w14:paraId="7E24D721">
      <w:pPr>
        <w:adjustRightInd w:val="0"/>
        <w:snapToGrid w:val="0"/>
        <w:spacing w:line="360" w:lineRule="auto"/>
        <w:ind w:firstLine="480" w:firstLineChars="200"/>
        <w:rPr>
          <w:rFonts w:hint="eastAsia" w:cs="仿宋"/>
          <w:color w:val="000000"/>
          <w:kern w:val="2"/>
        </w:rPr>
      </w:pPr>
      <w:r>
        <w:rPr>
          <w:rFonts w:hint="eastAsia" w:cs="仿宋"/>
          <w:color w:val="000000"/>
          <w:kern w:val="2"/>
        </w:rPr>
        <w:t>（四）本合同不涉及国家秘密。</w:t>
      </w:r>
    </w:p>
    <w:p w14:paraId="532A090E">
      <w:pPr>
        <w:spacing w:line="336" w:lineRule="auto"/>
        <w:jc w:val="center"/>
        <w:rPr>
          <w:rFonts w:hint="eastAsia"/>
        </w:rPr>
      </w:pPr>
      <w:r>
        <w:rPr>
          <w:rFonts w:hint="eastAsia"/>
        </w:rPr>
        <w:t>（以下无正文，为签署页）</w:t>
      </w:r>
    </w:p>
    <w:p w14:paraId="6519CF1E">
      <w:pPr>
        <w:rPr>
          <w:rFonts w:hint="eastAsia"/>
        </w:rPr>
      </w:pPr>
    </w:p>
    <w:p w14:paraId="28F6FA30">
      <w:pPr>
        <w:tabs>
          <w:tab w:val="left" w:pos="5245"/>
          <w:tab w:val="left" w:pos="5387"/>
        </w:tabs>
        <w:spacing w:line="336" w:lineRule="auto"/>
        <w:ind w:firstLine="480"/>
        <w:rPr>
          <w:rFonts w:hint="eastAsia"/>
        </w:rPr>
      </w:pPr>
    </w:p>
    <w:p w14:paraId="0CF5F200">
      <w:pPr>
        <w:tabs>
          <w:tab w:val="left" w:pos="5245"/>
          <w:tab w:val="left" w:pos="5387"/>
        </w:tabs>
        <w:spacing w:line="336" w:lineRule="auto"/>
        <w:rPr>
          <w:rFonts w:hint="eastAsia"/>
        </w:rPr>
      </w:pPr>
      <w:r>
        <w:rPr>
          <w:rFonts w:hint="eastAsia"/>
        </w:rPr>
        <w:t xml:space="preserve">甲方：  </w:t>
      </w:r>
      <w:r>
        <w:t xml:space="preserve">                                  </w:t>
      </w:r>
      <w:r>
        <w:rPr>
          <w:rFonts w:hint="eastAsia"/>
        </w:rPr>
        <w:t xml:space="preserve">乙方：  </w:t>
      </w:r>
    </w:p>
    <w:p w14:paraId="720FA4EC">
      <w:pPr>
        <w:spacing w:line="336" w:lineRule="auto"/>
        <w:rPr>
          <w:rFonts w:hint="eastAsia"/>
        </w:rPr>
      </w:pPr>
      <w:r>
        <w:rPr>
          <w:rFonts w:hint="eastAsia" w:cs="仿宋_GB2312"/>
        </w:rPr>
        <w:t>中关村发展集团股份有限公司</w:t>
      </w:r>
      <w:r>
        <w:rPr>
          <w:rFonts w:hint="eastAsia"/>
        </w:rPr>
        <w:t xml:space="preserve"> </w:t>
      </w:r>
      <w:r>
        <w:t xml:space="preserve">          </w:t>
      </w:r>
      <w:r>
        <w:rPr>
          <w:rFonts w:hint="eastAsia" w:cs="仿宋_GB2312"/>
        </w:rPr>
        <w:t xml:space="preserve">    </w:t>
      </w:r>
    </w:p>
    <w:p w14:paraId="72A94CEE">
      <w:pPr>
        <w:spacing w:line="336" w:lineRule="auto"/>
        <w:ind w:firstLine="480"/>
        <w:rPr>
          <w:rFonts w:hint="eastAsia"/>
        </w:rPr>
      </w:pPr>
      <w:r>
        <w:t xml:space="preserve">       </w:t>
      </w:r>
      <w:r>
        <w:rPr>
          <w:rFonts w:hint="eastAsia"/>
        </w:rPr>
        <w:t>（盖章）</w:t>
      </w:r>
      <w:r>
        <w:t xml:space="preserve">  </w:t>
      </w:r>
      <w:r>
        <w:rPr>
          <w:rFonts w:hint="eastAsia"/>
        </w:rPr>
        <w:t xml:space="preserve">                                （盖章）</w:t>
      </w:r>
    </w:p>
    <w:p w14:paraId="53F1B875">
      <w:pPr>
        <w:spacing w:line="336" w:lineRule="auto"/>
        <w:ind w:firstLine="480"/>
        <w:rPr>
          <w:rFonts w:hint="eastAsia"/>
        </w:rPr>
      </w:pPr>
    </w:p>
    <w:p w14:paraId="00AC160C">
      <w:pPr>
        <w:spacing w:line="336" w:lineRule="auto"/>
        <w:rPr>
          <w:rFonts w:hint="eastAsia"/>
        </w:rPr>
      </w:pPr>
      <w:r>
        <w:rPr>
          <w:rFonts w:hint="eastAsia"/>
        </w:rPr>
        <w:t>法定代表人或委托代理人：</w:t>
      </w:r>
      <w:r>
        <w:t xml:space="preserve">                 </w:t>
      </w:r>
      <w:r>
        <w:rPr>
          <w:rFonts w:hint="eastAsia"/>
        </w:rPr>
        <w:t>法定代表人或委托代理人：</w:t>
      </w:r>
    </w:p>
    <w:p w14:paraId="6A0F680D">
      <w:pPr>
        <w:spacing w:line="336" w:lineRule="auto"/>
        <w:rPr>
          <w:rFonts w:hint="eastAsia"/>
        </w:rPr>
      </w:pPr>
    </w:p>
    <w:p w14:paraId="1FE1E127">
      <w:pPr>
        <w:spacing w:line="336" w:lineRule="auto"/>
        <w:rPr>
          <w:rFonts w:hint="eastAsia" w:cstheme="minorEastAsia"/>
        </w:rPr>
      </w:pPr>
      <w:r>
        <w:rPr>
          <w:rFonts w:hint="eastAsia"/>
        </w:rPr>
        <w:t>日期：</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r>
        <w:t xml:space="preserve">      </w:t>
      </w:r>
      <w:r>
        <w:rPr>
          <w:rFonts w:hint="eastAsia"/>
        </w:rPr>
        <w:t xml:space="preserve"> </w:t>
      </w:r>
      <w:r>
        <w:t xml:space="preserve">          </w:t>
      </w:r>
      <w:r>
        <w:rPr>
          <w:rFonts w:hint="eastAsia"/>
        </w:rPr>
        <w:t>日期：</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5D9C1B40">
      <w:pPr>
        <w:spacing w:line="360" w:lineRule="auto"/>
        <w:ind w:firstLine="480" w:firstLineChars="200"/>
        <w:rPr>
          <w:rFonts w:ascii="Times New Roman" w:hAnsi="Times New Roman" w:cs="Times New Roman"/>
          <w:szCs w:val="21"/>
        </w:rPr>
      </w:pPr>
    </w:p>
    <w:p w14:paraId="24E87B10">
      <w:pPr>
        <w:rPr>
          <w:rFonts w:ascii="Times New Roman" w:hAnsi="Times New Roman" w:cs="Times New Roman"/>
          <w:szCs w:val="21"/>
        </w:rPr>
      </w:pPr>
      <w:r>
        <w:rPr>
          <w:rFonts w:ascii="Times New Roman" w:hAnsi="Times New Roman" w:cs="Times New Roman"/>
          <w:szCs w:val="21"/>
        </w:rPr>
        <w:br w:type="page"/>
      </w:r>
    </w:p>
    <w:p w14:paraId="04AF6351">
      <w:pPr>
        <w:pStyle w:val="15"/>
      </w:pPr>
    </w:p>
    <w:p w14:paraId="6E41E4A0">
      <w:pPr>
        <w:pStyle w:val="15"/>
      </w:pPr>
    </w:p>
    <w:p w14:paraId="649F43AF">
      <w:pPr>
        <w:pStyle w:val="15"/>
      </w:pPr>
    </w:p>
    <w:p w14:paraId="551B0E22">
      <w:pPr>
        <w:pStyle w:val="15"/>
      </w:pPr>
    </w:p>
    <w:p w14:paraId="271B3019">
      <w:pPr>
        <w:pStyle w:val="15"/>
      </w:pPr>
    </w:p>
    <w:p w14:paraId="7F23630E">
      <w:pPr>
        <w:pStyle w:val="15"/>
      </w:pPr>
    </w:p>
    <w:p w14:paraId="4287C965">
      <w:pPr>
        <w:pStyle w:val="15"/>
      </w:pPr>
    </w:p>
    <w:p w14:paraId="5DBA7776">
      <w:pPr>
        <w:pStyle w:val="15"/>
      </w:pPr>
    </w:p>
    <w:p w14:paraId="591A3E8E">
      <w:pPr>
        <w:pStyle w:val="15"/>
      </w:pPr>
    </w:p>
    <w:p w14:paraId="3921CD71">
      <w:pPr>
        <w:pStyle w:val="15"/>
      </w:pPr>
    </w:p>
    <w:p w14:paraId="01277B8F">
      <w:pPr>
        <w:pStyle w:val="15"/>
      </w:pPr>
    </w:p>
    <w:p w14:paraId="2F470879">
      <w:pPr>
        <w:pStyle w:val="15"/>
      </w:pPr>
    </w:p>
    <w:p w14:paraId="77146516">
      <w:pPr>
        <w:pStyle w:val="15"/>
      </w:pPr>
    </w:p>
    <w:p w14:paraId="46AD1273">
      <w:pPr>
        <w:pStyle w:val="63"/>
        <w:numPr>
          <w:ilvl w:val="0"/>
          <w:numId w:val="4"/>
        </w:numPr>
        <w:spacing w:line="360" w:lineRule="auto"/>
        <w:ind w:left="1276" w:hanging="1276" w:firstLineChars="0"/>
        <w:jc w:val="center"/>
        <w:outlineLvl w:val="0"/>
        <w:rPr>
          <w:rFonts w:ascii="Times New Roman" w:hAnsi="Times New Roman" w:eastAsia="黑体" w:cs="Times New Roman"/>
          <w:b/>
          <w:sz w:val="44"/>
          <w:szCs w:val="44"/>
        </w:rPr>
      </w:pPr>
      <w:bookmarkStart w:id="1770" w:name="_Toc5460"/>
      <w:r>
        <w:rPr>
          <w:rFonts w:ascii="Times New Roman" w:hAnsi="Times New Roman" w:eastAsia="黑体" w:cs="Times New Roman"/>
          <w:b/>
          <w:sz w:val="44"/>
          <w:szCs w:val="44"/>
        </w:rPr>
        <w:t>服务需求及要求</w:t>
      </w:r>
      <w:bookmarkEnd w:id="1770"/>
    </w:p>
    <w:p w14:paraId="7373A91E">
      <w:pPr>
        <w:spacing w:line="360" w:lineRule="auto"/>
        <w:ind w:firstLine="480" w:firstLineChars="200"/>
        <w:rPr>
          <w:rFonts w:ascii="Times New Roman" w:hAnsi="Times New Roman" w:cs="Times New Roman"/>
          <w:szCs w:val="21"/>
        </w:rPr>
        <w:sectPr>
          <w:pgSz w:w="11906" w:h="16838"/>
          <w:pgMar w:top="1440" w:right="1800" w:bottom="1440" w:left="1800" w:header="851" w:footer="992" w:gutter="0"/>
          <w:cols w:space="720" w:num="1"/>
          <w:docGrid w:type="lines" w:linePitch="312" w:charSpace="0"/>
        </w:sectPr>
      </w:pPr>
    </w:p>
    <w:p w14:paraId="1E6364B6">
      <w:pPr>
        <w:keepNext/>
        <w:keepLines/>
        <w:widowControl w:val="0"/>
        <w:numPr>
          <w:ilvl w:val="0"/>
          <w:numId w:val="11"/>
        </w:numPr>
        <w:spacing w:line="360" w:lineRule="auto"/>
        <w:ind w:firstLine="200"/>
        <w:outlineLvl w:val="0"/>
        <w:rPr>
          <w:rFonts w:hint="eastAsia" w:cs="Times New Roman"/>
          <w:b/>
          <w:color w:val="000000"/>
          <w:kern w:val="2"/>
          <w:sz w:val="21"/>
          <w:szCs w:val="21"/>
          <w14:ligatures w14:val="standardContextual"/>
        </w:rPr>
      </w:pPr>
      <w:bookmarkStart w:id="1771" w:name="_Toc513642536"/>
      <w:bookmarkStart w:id="1772" w:name="_Toc513642299"/>
      <w:bookmarkStart w:id="1773" w:name="_Toc512646110"/>
      <w:bookmarkStart w:id="1774" w:name="_Toc8961"/>
      <w:bookmarkStart w:id="1775" w:name="_Toc4083234"/>
      <w:bookmarkStart w:id="1776" w:name="_Toc82638992"/>
      <w:r>
        <w:rPr>
          <w:rFonts w:hint="eastAsia" w:cs="Times New Roman"/>
          <w:b/>
          <w:color w:val="000000"/>
          <w:kern w:val="2"/>
          <w:sz w:val="21"/>
          <w:szCs w:val="21"/>
          <w14:ligatures w14:val="standardContextual"/>
        </w:rPr>
        <w:t>项目背景</w:t>
      </w:r>
      <w:bookmarkEnd w:id="1771"/>
      <w:bookmarkEnd w:id="1772"/>
      <w:bookmarkEnd w:id="1773"/>
      <w:bookmarkEnd w:id="1774"/>
      <w:bookmarkEnd w:id="1775"/>
      <w:bookmarkEnd w:id="1776"/>
    </w:p>
    <w:p w14:paraId="4F744218">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777" w:name="_Toc15199"/>
      <w:bookmarkStart w:id="1778" w:name="_Toc137167475"/>
      <w:bookmarkStart w:id="1779" w:name="_Toc137259562"/>
      <w:bookmarkStart w:id="1780" w:name="_Toc51922022"/>
      <w:bookmarkStart w:id="1781" w:name="_Toc137186199"/>
      <w:bookmarkStart w:id="1782" w:name="_Toc136848273"/>
      <w:bookmarkStart w:id="1783" w:name="_Toc82638993"/>
      <w:bookmarkStart w:id="1784" w:name="_Toc51322317"/>
      <w:bookmarkStart w:id="1785" w:name="_Toc137167714"/>
      <w:bookmarkStart w:id="1786" w:name="_Toc54955649"/>
      <w:bookmarkStart w:id="1787" w:name="_Toc115780535"/>
      <w:bookmarkStart w:id="1788" w:name="_Toc114289370"/>
      <w:bookmarkStart w:id="1789" w:name="_Toc114289229"/>
      <w:bookmarkStart w:id="1790" w:name="_Toc114875948"/>
      <w:bookmarkStart w:id="1791" w:name="_Toc113877936"/>
      <w:bookmarkStart w:id="1792" w:name="_Toc113926177"/>
      <w:bookmarkStart w:id="1793" w:name="_Toc114289043"/>
      <w:bookmarkStart w:id="1794" w:name="_Toc117244068"/>
      <w:bookmarkStart w:id="1795" w:name="_Toc118008548"/>
      <w:bookmarkStart w:id="1796" w:name="_Toc119169253"/>
      <w:r>
        <w:rPr>
          <w:rFonts w:cs="Times New Roman"/>
          <w:b/>
          <w:kern w:val="2"/>
          <w:sz w:val="21"/>
          <w:szCs w:val="21"/>
          <w14:ligatures w14:val="standardContextual"/>
        </w:rPr>
        <w:t>公司简介</w:t>
      </w:r>
      <w:bookmarkEnd w:id="1777"/>
      <w:bookmarkEnd w:id="1778"/>
      <w:bookmarkEnd w:id="1779"/>
      <w:bookmarkEnd w:id="1780"/>
      <w:bookmarkEnd w:id="1781"/>
      <w:bookmarkEnd w:id="1782"/>
      <w:bookmarkEnd w:id="1783"/>
      <w:bookmarkEnd w:id="1784"/>
      <w:bookmarkEnd w:id="1785"/>
      <w:bookmarkEnd w:id="1786"/>
    </w:p>
    <w:p w14:paraId="09C23A50">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中关村发展集团股份有限公司成立于2010年。自成立以来，集团始终以服务创新发展为使命，汇聚创新资源、构筑创新生态，逐步形成了集空间运营、产业投资、科技金融、科技服务于一体的业务体系，并通过国内协同、国际合作在全球范围内配置创新资源，已成为中关村创新创业生态中不可或缺的重要一环。</w:t>
      </w:r>
    </w:p>
    <w:p w14:paraId="2AFD3BC5">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797" w:name="_Toc7935"/>
      <w:bookmarkStart w:id="1798" w:name="_Toc82638994"/>
      <w:bookmarkStart w:id="1799" w:name="_Toc54955650"/>
      <w:bookmarkStart w:id="1800" w:name="_Toc51322318"/>
      <w:bookmarkStart w:id="1801" w:name="_Toc51922023"/>
      <w:r>
        <w:rPr>
          <w:rFonts w:cs="Times New Roman"/>
          <w:b/>
          <w:kern w:val="2"/>
          <w:sz w:val="21"/>
          <w:szCs w:val="21"/>
          <w14:ligatures w14:val="standardContextual"/>
        </w:rPr>
        <w:t>项目</w:t>
      </w:r>
      <w:r>
        <w:rPr>
          <w:rFonts w:hint="eastAsia" w:cs="Times New Roman"/>
          <w:b/>
          <w:kern w:val="2"/>
          <w:sz w:val="21"/>
          <w:szCs w:val="21"/>
          <w14:ligatures w14:val="standardContextual"/>
        </w:rPr>
        <w:t>概述</w:t>
      </w:r>
      <w:bookmarkEnd w:id="1797"/>
      <w:bookmarkEnd w:id="1798"/>
      <w:bookmarkEnd w:id="1799"/>
      <w:bookmarkEnd w:id="1800"/>
      <w:bookmarkEnd w:id="1801"/>
    </w:p>
    <w:bookmarkEnd w:id="1787"/>
    <w:bookmarkEnd w:id="1788"/>
    <w:bookmarkEnd w:id="1789"/>
    <w:bookmarkEnd w:id="1790"/>
    <w:bookmarkEnd w:id="1791"/>
    <w:bookmarkEnd w:id="1792"/>
    <w:bookmarkEnd w:id="1793"/>
    <w:bookmarkEnd w:id="1794"/>
    <w:bookmarkEnd w:id="1795"/>
    <w:bookmarkEnd w:id="1796"/>
    <w:p w14:paraId="5442556E">
      <w:pPr>
        <w:widowControl w:val="0"/>
        <w:spacing w:line="360" w:lineRule="auto"/>
        <w:ind w:firstLine="420" w:firstLineChars="200"/>
        <w:rPr>
          <w:rFonts w:hint="eastAsia" w:cs="Times New Roman"/>
          <w:kern w:val="2"/>
          <w:sz w:val="21"/>
          <w:szCs w:val="21"/>
          <w14:ligatures w14:val="standardContextual"/>
        </w:rPr>
      </w:pPr>
      <w:bookmarkStart w:id="1802" w:name="OLE_LINK18"/>
      <w:bookmarkStart w:id="1803" w:name="_Toc117244073"/>
      <w:bookmarkStart w:id="1804" w:name="_Toc114875953"/>
      <w:bookmarkStart w:id="1805" w:name="_Toc79140852"/>
      <w:bookmarkStart w:id="1806" w:name="_Toc113926182"/>
      <w:bookmarkStart w:id="1807" w:name="_Toc81989502"/>
      <w:bookmarkStart w:id="1808" w:name="_Toc119169258"/>
      <w:bookmarkStart w:id="1809" w:name="_Toc51922024"/>
      <w:bookmarkStart w:id="1810" w:name="_Toc51322320"/>
      <w:bookmarkStart w:id="1811" w:name="_Toc54955651"/>
      <w:bookmarkStart w:id="1812" w:name="_Toc137186206"/>
      <w:bookmarkStart w:id="1813" w:name="_Toc115780540"/>
      <w:bookmarkStart w:id="1814" w:name="_Toc80672006"/>
      <w:bookmarkStart w:id="1815" w:name="_Toc114289375"/>
      <w:bookmarkStart w:id="1816" w:name="_Toc137167721"/>
      <w:bookmarkStart w:id="1817" w:name="_Toc137167481"/>
      <w:bookmarkStart w:id="1818" w:name="_Toc113877941"/>
      <w:bookmarkStart w:id="1819" w:name="_Toc82638995"/>
      <w:bookmarkStart w:id="1820" w:name="_Toc114289234"/>
      <w:bookmarkStart w:id="1821" w:name="_Toc114289048"/>
      <w:bookmarkStart w:id="1822" w:name="_Toc137259569"/>
      <w:bookmarkStart w:id="1823" w:name="_Toc118008553"/>
      <w:r>
        <w:rPr>
          <w:rFonts w:cs="Times New Roman"/>
          <w:kern w:val="2"/>
          <w:sz w:val="21"/>
          <w:szCs w:val="21"/>
          <w14:ligatures w14:val="standardContextual"/>
        </w:rPr>
        <w:t>随着中关村发展集团股份有限公司（以下简称“集团”）</w:t>
      </w:r>
      <w:r>
        <w:rPr>
          <w:rFonts w:hint="eastAsia" w:cs="Times New Roman"/>
          <w:kern w:val="2"/>
          <w:sz w:val="21"/>
          <w:szCs w:val="21"/>
          <w14:ligatures w14:val="standardContextual"/>
        </w:rPr>
        <w:t>业务系统的逐步建设</w:t>
      </w:r>
      <w:r>
        <w:rPr>
          <w:rFonts w:cs="Times New Roman"/>
          <w:kern w:val="2"/>
          <w:sz w:val="21"/>
          <w:szCs w:val="21"/>
          <w14:ligatures w14:val="standardContextual"/>
        </w:rPr>
        <w:t>，网络安全威胁日益多样化、复杂化，给数据安全、业务连续性及合规管理带来严峻挑战。目前，集团在网络安全体系建设、IPv6环境适配及信创技术兼容性方面仍存在薄弱环节。为实现“高安全、高可用、强兼容、自主可控”的建设目标，</w:t>
      </w:r>
      <w:r>
        <w:rPr>
          <w:rFonts w:hint="eastAsia" w:cs="Times New Roman"/>
          <w:kern w:val="2"/>
          <w:sz w:val="21"/>
          <w:szCs w:val="21"/>
          <w14:ligatures w14:val="standardContextual"/>
        </w:rPr>
        <w:t>将</w:t>
      </w:r>
      <w:r>
        <w:rPr>
          <w:rFonts w:cs="Times New Roman"/>
          <w:kern w:val="2"/>
          <w:sz w:val="21"/>
          <w:szCs w:val="21"/>
          <w14:ligatures w14:val="standardContextual"/>
        </w:rPr>
        <w:t>加快构建纵深防御的安全体系，提升IPv6网络下的安全防护与流量监测能力，推进关键软硬件的国产化适配，全面打造适应新一代信息基础设施要求的安全可信技术支撑体系。</w:t>
      </w:r>
      <w:r>
        <w:rPr>
          <w:rFonts w:hint="eastAsia" w:cs="Times New Roman"/>
          <w:kern w:val="2"/>
          <w:sz w:val="21"/>
          <w:szCs w:val="21"/>
          <w14:ligatures w14:val="standardContextual"/>
        </w:rPr>
        <w:t>本期项目主要是参照等级保护三级要求开展数据中心网络安全设备采购和网络优化工作。</w:t>
      </w:r>
    </w:p>
    <w:bookmarkEnd w:id="1802"/>
    <w:p w14:paraId="2E3720BA">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824" w:name="_Toc23331"/>
      <w:r>
        <w:rPr>
          <w:rFonts w:cs="Times New Roman"/>
          <w:b/>
          <w:kern w:val="2"/>
          <w:sz w:val="21"/>
          <w:szCs w:val="21"/>
          <w14:ligatures w14:val="standardContextual"/>
        </w:rPr>
        <w:t>工作范围</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p>
    <w:p w14:paraId="7ED2081D">
      <w:pPr>
        <w:widowControl w:val="0"/>
        <w:spacing w:line="360" w:lineRule="auto"/>
        <w:ind w:firstLine="420" w:firstLineChars="200"/>
        <w:rPr>
          <w:rFonts w:hint="eastAsia" w:cs="Times New Roman"/>
          <w:kern w:val="2"/>
          <w:sz w:val="21"/>
          <w:szCs w:val="21"/>
          <w14:ligatures w14:val="standardContextual"/>
        </w:rPr>
      </w:pPr>
      <w:r>
        <w:rPr>
          <w:rFonts w:cs="Times New Roman"/>
          <w:kern w:val="2"/>
          <w:sz w:val="21"/>
          <w:szCs w:val="21"/>
          <w14:ligatures w14:val="standardContextual"/>
        </w:rPr>
        <w:t>投标方应提供满足本招标文件要求及虽未列举，但为确保项目成功上线所必须的所有软件及各项服务。其中包括（但不限于）下列内容：</w:t>
      </w:r>
    </w:p>
    <w:p w14:paraId="2EFA62DA">
      <w:pPr>
        <w:widowControl w:val="0"/>
        <w:spacing w:line="360" w:lineRule="auto"/>
        <w:ind w:firstLine="420" w:firstLineChars="200"/>
        <w:rPr>
          <w:rFonts w:hint="eastAsia" w:cs="Times New Roman"/>
          <w:kern w:val="2"/>
          <w:sz w:val="21"/>
          <w:szCs w:val="21"/>
          <w14:ligatures w14:val="standardContextual"/>
        </w:rPr>
      </w:pPr>
      <w:bookmarkStart w:id="1825" w:name="_Toc79140854"/>
      <w:r>
        <w:rPr>
          <w:rFonts w:cs="Times New Roman"/>
          <w:kern w:val="2"/>
          <w:sz w:val="21"/>
          <w:szCs w:val="21"/>
          <w14:ligatures w14:val="standardContextual"/>
        </w:rPr>
        <w:t>1</w:t>
      </w:r>
      <w:r>
        <w:rPr>
          <w:rFonts w:hint="eastAsia" w:cs="Times New Roman"/>
          <w:kern w:val="2"/>
          <w:sz w:val="21"/>
          <w:szCs w:val="21"/>
          <w14:ligatures w14:val="standardContextual"/>
        </w:rPr>
        <w:t>．按照招标人要求</w:t>
      </w:r>
      <w:r>
        <w:rPr>
          <w:rFonts w:cs="Times New Roman"/>
          <w:kern w:val="2"/>
          <w:sz w:val="21"/>
          <w:szCs w:val="21"/>
          <w14:ligatures w14:val="standardContextual"/>
        </w:rPr>
        <w:t>，提供</w:t>
      </w:r>
      <w:r>
        <w:rPr>
          <w:rFonts w:hint="eastAsia" w:cs="Times New Roman"/>
          <w:kern w:val="2"/>
          <w:sz w:val="21"/>
          <w:szCs w:val="21"/>
          <w14:ligatures w14:val="standardContextual"/>
        </w:rPr>
        <w:t>设备采购、上架及实施</w:t>
      </w:r>
      <w:r>
        <w:rPr>
          <w:rFonts w:cs="Times New Roman"/>
          <w:kern w:val="2"/>
          <w:sz w:val="21"/>
          <w:szCs w:val="21"/>
          <w14:ligatures w14:val="standardContextual"/>
        </w:rPr>
        <w:t>部署服务</w:t>
      </w:r>
      <w:r>
        <w:rPr>
          <w:rFonts w:hint="eastAsia" w:cs="Times New Roman"/>
          <w:kern w:val="2"/>
          <w:sz w:val="21"/>
          <w:szCs w:val="21"/>
          <w14:ligatures w14:val="standardContextual"/>
        </w:rPr>
        <w:t>；</w:t>
      </w:r>
    </w:p>
    <w:bookmarkEnd w:id="1825"/>
    <w:p w14:paraId="5421261C">
      <w:pPr>
        <w:widowControl w:val="0"/>
        <w:spacing w:line="360" w:lineRule="auto"/>
        <w:ind w:firstLine="420" w:firstLineChars="200"/>
        <w:rPr>
          <w:rFonts w:hint="eastAsia" w:cs="Times New Roman"/>
          <w:kern w:val="2"/>
          <w:sz w:val="21"/>
          <w:szCs w:val="21"/>
          <w14:ligatures w14:val="standardContextual"/>
        </w:rPr>
      </w:pPr>
      <w:bookmarkStart w:id="1826" w:name="_Toc79140855"/>
      <w:r>
        <w:rPr>
          <w:rFonts w:hint="eastAsia" w:cs="Times New Roman"/>
          <w:kern w:val="2"/>
          <w:sz w:val="21"/>
          <w:szCs w:val="21"/>
          <w14:ligatures w14:val="standardContextual"/>
        </w:rPr>
        <w:t xml:space="preserve">2. </w:t>
      </w:r>
      <w:r>
        <w:rPr>
          <w:rFonts w:cs="Times New Roman"/>
          <w:kern w:val="2"/>
          <w:sz w:val="21"/>
          <w:szCs w:val="21"/>
          <w14:ligatures w14:val="standardContextual"/>
        </w:rPr>
        <w:t>按照</w:t>
      </w:r>
      <w:r>
        <w:rPr>
          <w:rFonts w:hint="eastAsia" w:cs="Times New Roman"/>
          <w:kern w:val="2"/>
          <w:sz w:val="21"/>
          <w:szCs w:val="21"/>
          <w14:ligatures w14:val="standardContextual"/>
        </w:rPr>
        <w:t>招标方要求</w:t>
      </w:r>
      <w:r>
        <w:rPr>
          <w:rFonts w:cs="Times New Roman"/>
          <w:kern w:val="2"/>
          <w:sz w:val="21"/>
          <w:szCs w:val="21"/>
          <w14:ligatures w14:val="standardContextual"/>
        </w:rPr>
        <w:t>提供各类文档</w:t>
      </w:r>
      <w:r>
        <w:rPr>
          <w:rFonts w:hint="eastAsia" w:cs="Times New Roman"/>
          <w:kern w:val="2"/>
          <w:sz w:val="21"/>
          <w:szCs w:val="21"/>
          <w14:ligatures w14:val="standardContextual"/>
        </w:rPr>
        <w:t>，</w:t>
      </w:r>
      <w:r>
        <w:rPr>
          <w:rFonts w:cs="Times New Roman"/>
          <w:kern w:val="2"/>
          <w:sz w:val="21"/>
          <w:szCs w:val="21"/>
          <w14:ligatures w14:val="standardContextual"/>
        </w:rPr>
        <w:t>协助</w:t>
      </w:r>
      <w:r>
        <w:rPr>
          <w:rFonts w:hint="eastAsia" w:cs="Times New Roman"/>
          <w:kern w:val="2"/>
          <w:sz w:val="21"/>
          <w:szCs w:val="21"/>
          <w14:ligatures w14:val="standardContextual"/>
        </w:rPr>
        <w:t>招标方</w:t>
      </w:r>
      <w:r>
        <w:rPr>
          <w:rFonts w:cs="Times New Roman"/>
          <w:kern w:val="2"/>
          <w:sz w:val="21"/>
          <w:szCs w:val="21"/>
          <w14:ligatures w14:val="standardContextual"/>
        </w:rPr>
        <w:t>进行整体验收工作；</w:t>
      </w:r>
    </w:p>
    <w:bookmarkEnd w:id="1826"/>
    <w:p w14:paraId="373C32C0">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3．按照招标方要求提供网络优化支持、安全类策略调整</w:t>
      </w:r>
      <w:r>
        <w:rPr>
          <w:rFonts w:cs="Times New Roman"/>
          <w:kern w:val="2"/>
          <w:sz w:val="21"/>
          <w:szCs w:val="21"/>
          <w14:ligatures w14:val="standardContextual"/>
        </w:rPr>
        <w:t>等技术服务</w:t>
      </w:r>
      <w:r>
        <w:rPr>
          <w:rFonts w:hint="eastAsia" w:cs="Times New Roman"/>
          <w:kern w:val="2"/>
          <w:sz w:val="21"/>
          <w:szCs w:val="21"/>
          <w14:ligatures w14:val="standardContextual"/>
        </w:rPr>
        <w:t>。</w:t>
      </w:r>
    </w:p>
    <w:p w14:paraId="7026E3B3">
      <w:pPr>
        <w:keepNext/>
        <w:keepLines/>
        <w:widowControl w:val="0"/>
        <w:numPr>
          <w:ilvl w:val="0"/>
          <w:numId w:val="11"/>
        </w:numPr>
        <w:spacing w:line="360" w:lineRule="auto"/>
        <w:ind w:firstLine="200"/>
        <w:outlineLvl w:val="0"/>
        <w:rPr>
          <w:rFonts w:hint="eastAsia" w:cs="Times New Roman"/>
          <w:b/>
          <w:color w:val="000000"/>
          <w:kern w:val="2"/>
          <w:sz w:val="21"/>
          <w:szCs w:val="21"/>
          <w14:ligatures w14:val="standardContextual"/>
        </w:rPr>
      </w:pPr>
      <w:bookmarkStart w:id="1827" w:name="_Toc4083235"/>
      <w:bookmarkStart w:id="1828" w:name="_Toc82638996"/>
      <w:bookmarkStart w:id="1829" w:name="_Toc27165"/>
      <w:r>
        <w:rPr>
          <w:rFonts w:hint="eastAsia" w:cs="Times New Roman"/>
          <w:b/>
          <w:color w:val="000000"/>
          <w:kern w:val="2"/>
          <w:sz w:val="21"/>
          <w:szCs w:val="21"/>
          <w14:ligatures w14:val="standardContextual"/>
        </w:rPr>
        <w:t>招标内容及要求</w:t>
      </w:r>
      <w:bookmarkEnd w:id="1827"/>
      <w:bookmarkEnd w:id="1828"/>
      <w:bookmarkEnd w:id="1829"/>
    </w:p>
    <w:p w14:paraId="0DF5DD8A">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830" w:name="_Toc18861"/>
      <w:bookmarkStart w:id="1831" w:name="_Toc82638997"/>
      <w:bookmarkStart w:id="1832" w:name="_Toc4083236"/>
      <w:r>
        <w:rPr>
          <w:rFonts w:hint="eastAsia" w:cs="Times New Roman"/>
          <w:b/>
          <w:kern w:val="2"/>
          <w:sz w:val="21"/>
          <w:szCs w:val="21"/>
          <w14:ligatures w14:val="standardContextual"/>
        </w:rPr>
        <w:t>招标</w:t>
      </w:r>
      <w:r>
        <w:rPr>
          <w:rFonts w:cs="Times New Roman"/>
          <w:b/>
          <w:kern w:val="2"/>
          <w:sz w:val="21"/>
          <w:szCs w:val="21"/>
          <w14:ligatures w14:val="standardContextual"/>
        </w:rPr>
        <w:t>内容</w:t>
      </w:r>
      <w:bookmarkEnd w:id="1830"/>
      <w:bookmarkEnd w:id="1831"/>
      <w:bookmarkEnd w:id="1832"/>
      <w:bookmarkStart w:id="1833" w:name="_Hlk82847137"/>
    </w:p>
    <w:tbl>
      <w:tblPr>
        <w:tblStyle w:val="3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629"/>
        <w:gridCol w:w="3772"/>
      </w:tblGrid>
      <w:tr w14:paraId="4E04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9" w:type="dxa"/>
            <w:shd w:val="clear" w:color="auto" w:fill="ADADAD"/>
            <w:vAlign w:val="center"/>
          </w:tcPr>
          <w:p w14:paraId="31434218">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品目号</w:t>
            </w:r>
          </w:p>
        </w:tc>
        <w:tc>
          <w:tcPr>
            <w:tcW w:w="2629" w:type="dxa"/>
            <w:shd w:val="clear" w:color="auto" w:fill="ADADAD"/>
            <w:vAlign w:val="center"/>
          </w:tcPr>
          <w:p w14:paraId="4F9BD7D3">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名称</w:t>
            </w:r>
          </w:p>
        </w:tc>
        <w:tc>
          <w:tcPr>
            <w:tcW w:w="3772" w:type="dxa"/>
            <w:shd w:val="clear" w:color="auto" w:fill="ADADAD"/>
            <w:vAlign w:val="center"/>
          </w:tcPr>
          <w:p w14:paraId="7E6B490C">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描述</w:t>
            </w:r>
          </w:p>
        </w:tc>
      </w:tr>
      <w:tr w14:paraId="0D23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9" w:type="dxa"/>
            <w:shd w:val="clear" w:color="auto" w:fill="auto"/>
            <w:vAlign w:val="center"/>
          </w:tcPr>
          <w:p w14:paraId="289F92B0">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1</w:t>
            </w:r>
            <w:r>
              <w:rPr>
                <w:rFonts w:cs="Times New Roman"/>
                <w:b/>
                <w:bCs/>
                <w:kern w:val="2"/>
                <w:sz w:val="21"/>
                <w:szCs w:val="21"/>
                <w14:ligatures w14:val="standardContextual"/>
              </w:rPr>
              <w:t>.1</w:t>
            </w:r>
          </w:p>
        </w:tc>
        <w:tc>
          <w:tcPr>
            <w:tcW w:w="2629" w:type="dxa"/>
            <w:shd w:val="clear" w:color="auto" w:fill="auto"/>
            <w:vAlign w:val="center"/>
          </w:tcPr>
          <w:p w14:paraId="3DB34042">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设备采购</w:t>
            </w:r>
          </w:p>
        </w:tc>
        <w:tc>
          <w:tcPr>
            <w:tcW w:w="3772" w:type="dxa"/>
            <w:shd w:val="clear" w:color="auto" w:fill="auto"/>
            <w:vAlign w:val="center"/>
          </w:tcPr>
          <w:p w14:paraId="08FE2A1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8台设备</w:t>
            </w:r>
          </w:p>
        </w:tc>
      </w:tr>
      <w:tr w14:paraId="1282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9" w:type="dxa"/>
            <w:shd w:val="clear" w:color="auto" w:fill="auto"/>
            <w:vAlign w:val="center"/>
          </w:tcPr>
          <w:p w14:paraId="59FEE937">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1</w:t>
            </w:r>
            <w:r>
              <w:rPr>
                <w:rFonts w:cs="Times New Roman"/>
                <w:b/>
                <w:bCs/>
                <w:kern w:val="2"/>
                <w:sz w:val="21"/>
                <w:szCs w:val="21"/>
                <w14:ligatures w14:val="standardContextual"/>
              </w:rPr>
              <w:t>.2</w:t>
            </w:r>
          </w:p>
        </w:tc>
        <w:tc>
          <w:tcPr>
            <w:tcW w:w="2629" w:type="dxa"/>
            <w:shd w:val="clear" w:color="auto" w:fill="auto"/>
            <w:vAlign w:val="center"/>
          </w:tcPr>
          <w:p w14:paraId="135D848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软件采购</w:t>
            </w:r>
          </w:p>
        </w:tc>
        <w:tc>
          <w:tcPr>
            <w:tcW w:w="3772" w:type="dxa"/>
            <w:shd w:val="clear" w:color="auto" w:fill="auto"/>
            <w:vAlign w:val="center"/>
          </w:tcPr>
          <w:p w14:paraId="0D370F17">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2套软件及授权采购</w:t>
            </w:r>
          </w:p>
        </w:tc>
      </w:tr>
      <w:tr w14:paraId="4D76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9" w:type="dxa"/>
            <w:shd w:val="clear" w:color="auto" w:fill="auto"/>
            <w:vAlign w:val="center"/>
          </w:tcPr>
          <w:p w14:paraId="1714F09A">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1</w:t>
            </w:r>
            <w:r>
              <w:rPr>
                <w:rFonts w:cs="Times New Roman"/>
                <w:b/>
                <w:bCs/>
                <w:kern w:val="2"/>
                <w:sz w:val="21"/>
                <w:szCs w:val="21"/>
                <w14:ligatures w14:val="standardContextual"/>
              </w:rPr>
              <w:t>.3</w:t>
            </w:r>
          </w:p>
        </w:tc>
        <w:tc>
          <w:tcPr>
            <w:tcW w:w="2629" w:type="dxa"/>
            <w:shd w:val="clear" w:color="auto" w:fill="auto"/>
            <w:vAlign w:val="center"/>
          </w:tcPr>
          <w:p w14:paraId="5716FAC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系统集成</w:t>
            </w:r>
          </w:p>
        </w:tc>
        <w:tc>
          <w:tcPr>
            <w:tcW w:w="3772" w:type="dxa"/>
            <w:shd w:val="clear" w:color="auto" w:fill="auto"/>
            <w:vAlign w:val="center"/>
          </w:tcPr>
          <w:p w14:paraId="05B94812">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集成服务</w:t>
            </w:r>
          </w:p>
        </w:tc>
      </w:tr>
    </w:tbl>
    <w:p w14:paraId="1D06C4BD">
      <w:pPr>
        <w:widowControl w:val="0"/>
        <w:spacing w:line="360" w:lineRule="auto"/>
        <w:ind w:firstLine="420" w:firstLineChars="200"/>
        <w:rPr>
          <w:rFonts w:hint="eastAsia" w:cs="Times New Roman"/>
          <w:kern w:val="2"/>
          <w:sz w:val="21"/>
          <w:szCs w:val="21"/>
          <w14:ligatures w14:val="standardContextual"/>
        </w:rPr>
      </w:pPr>
    </w:p>
    <w:p w14:paraId="1B4617CE">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设备及软件采购清单如下：</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2410"/>
        <w:gridCol w:w="992"/>
        <w:gridCol w:w="1134"/>
        <w:gridCol w:w="3056"/>
      </w:tblGrid>
      <w:tr w14:paraId="524C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 w:type="dxa"/>
            <w:shd w:val="clear" w:color="auto" w:fill="ADADAD"/>
            <w:vAlign w:val="center"/>
          </w:tcPr>
          <w:p w14:paraId="1382611B">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序号</w:t>
            </w:r>
          </w:p>
        </w:tc>
        <w:tc>
          <w:tcPr>
            <w:tcW w:w="2410" w:type="dxa"/>
            <w:shd w:val="clear" w:color="auto" w:fill="ADADAD"/>
            <w:vAlign w:val="center"/>
          </w:tcPr>
          <w:p w14:paraId="4899F016">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设备名称</w:t>
            </w:r>
          </w:p>
        </w:tc>
        <w:tc>
          <w:tcPr>
            <w:tcW w:w="992" w:type="dxa"/>
            <w:shd w:val="clear" w:color="auto" w:fill="ADADAD"/>
            <w:vAlign w:val="center"/>
          </w:tcPr>
          <w:p w14:paraId="0BB55199">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数量</w:t>
            </w:r>
          </w:p>
        </w:tc>
        <w:tc>
          <w:tcPr>
            <w:tcW w:w="1134" w:type="dxa"/>
            <w:shd w:val="clear" w:color="auto" w:fill="ADADAD"/>
            <w:vAlign w:val="center"/>
          </w:tcPr>
          <w:p w14:paraId="2321D756">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单位</w:t>
            </w:r>
          </w:p>
        </w:tc>
        <w:tc>
          <w:tcPr>
            <w:tcW w:w="3056" w:type="dxa"/>
            <w:shd w:val="clear" w:color="auto" w:fill="ADADAD"/>
            <w:vAlign w:val="center"/>
          </w:tcPr>
          <w:p w14:paraId="2EED7FCD">
            <w:pPr>
              <w:widowControl w:val="0"/>
              <w:spacing w:line="360" w:lineRule="auto"/>
              <w:jc w:val="center"/>
              <w:rPr>
                <w:rFonts w:hint="eastAsia" w:cs="Times New Roman"/>
                <w:b/>
                <w:bCs/>
                <w:kern w:val="2"/>
                <w:sz w:val="21"/>
                <w:szCs w:val="21"/>
                <w14:ligatures w14:val="standardContextual"/>
              </w:rPr>
            </w:pPr>
            <w:r>
              <w:rPr>
                <w:rFonts w:hint="eastAsia" w:ascii="等线" w:hAnsi="等线" w:cs="Times New Roman"/>
                <w:b/>
                <w:bCs/>
                <w:kern w:val="2"/>
                <w:sz w:val="21"/>
                <w:szCs w:val="21"/>
                <w14:ligatures w14:val="standardContextual"/>
              </w:rPr>
              <w:t>备注</w:t>
            </w:r>
          </w:p>
        </w:tc>
      </w:tr>
      <w:tr w14:paraId="6494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8296" w:type="dxa"/>
            <w:gridSpan w:val="5"/>
            <w:shd w:val="clear" w:color="auto" w:fill="auto"/>
            <w:vAlign w:val="center"/>
          </w:tcPr>
          <w:p w14:paraId="4A249D19">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硬件部分</w:t>
            </w:r>
          </w:p>
        </w:tc>
      </w:tr>
      <w:tr w14:paraId="7345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 w:type="dxa"/>
            <w:shd w:val="clear" w:color="auto" w:fill="auto"/>
            <w:vAlign w:val="center"/>
          </w:tcPr>
          <w:p w14:paraId="19357B91">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1</w:t>
            </w:r>
          </w:p>
        </w:tc>
        <w:tc>
          <w:tcPr>
            <w:tcW w:w="2410" w:type="dxa"/>
            <w:shd w:val="clear" w:color="auto" w:fill="auto"/>
            <w:vAlign w:val="center"/>
          </w:tcPr>
          <w:p w14:paraId="1283621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入侵防护系统</w:t>
            </w:r>
          </w:p>
        </w:tc>
        <w:tc>
          <w:tcPr>
            <w:tcW w:w="992" w:type="dxa"/>
            <w:shd w:val="clear" w:color="auto" w:fill="auto"/>
            <w:vAlign w:val="center"/>
          </w:tcPr>
          <w:p w14:paraId="0E1A1BEB">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2</w:t>
            </w:r>
          </w:p>
        </w:tc>
        <w:tc>
          <w:tcPr>
            <w:tcW w:w="1134" w:type="dxa"/>
            <w:vAlign w:val="center"/>
          </w:tcPr>
          <w:p w14:paraId="0597644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台</w:t>
            </w:r>
          </w:p>
        </w:tc>
        <w:tc>
          <w:tcPr>
            <w:tcW w:w="3056" w:type="dxa"/>
          </w:tcPr>
          <w:p w14:paraId="3823AF1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替换现网绿盟</w:t>
            </w:r>
            <w:r>
              <w:rPr>
                <w:rFonts w:cs="Times New Roman"/>
                <w:kern w:val="2"/>
                <w:sz w:val="21"/>
                <w:szCs w:val="21"/>
                <w14:ligatures w14:val="standardContextual"/>
              </w:rPr>
              <w:t>NIPS-NX3-CH3330</w:t>
            </w:r>
            <w:r>
              <w:rPr>
                <w:rFonts w:hint="eastAsia" w:cs="Times New Roman"/>
                <w:kern w:val="2"/>
                <w:sz w:val="21"/>
                <w:szCs w:val="21"/>
                <w14:ligatures w14:val="standardContextual"/>
              </w:rPr>
              <w:t>入侵防护系统，兼容已有策略和数据，两台设备主备冗余。</w:t>
            </w:r>
          </w:p>
        </w:tc>
      </w:tr>
      <w:tr w14:paraId="78CF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 w:type="dxa"/>
            <w:shd w:val="clear" w:color="auto" w:fill="auto"/>
            <w:vAlign w:val="center"/>
          </w:tcPr>
          <w:p w14:paraId="1B7E3997">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2</w:t>
            </w:r>
          </w:p>
        </w:tc>
        <w:tc>
          <w:tcPr>
            <w:tcW w:w="2410" w:type="dxa"/>
            <w:shd w:val="clear" w:color="auto" w:fill="auto"/>
            <w:vAlign w:val="center"/>
          </w:tcPr>
          <w:p w14:paraId="792E3F6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运维安全管理系统</w:t>
            </w:r>
          </w:p>
        </w:tc>
        <w:tc>
          <w:tcPr>
            <w:tcW w:w="992" w:type="dxa"/>
            <w:shd w:val="clear" w:color="auto" w:fill="auto"/>
            <w:vAlign w:val="center"/>
          </w:tcPr>
          <w:p w14:paraId="5155284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1</w:t>
            </w:r>
          </w:p>
        </w:tc>
        <w:tc>
          <w:tcPr>
            <w:tcW w:w="1134" w:type="dxa"/>
            <w:vAlign w:val="center"/>
          </w:tcPr>
          <w:p w14:paraId="0DADB9B7">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台</w:t>
            </w:r>
          </w:p>
        </w:tc>
        <w:tc>
          <w:tcPr>
            <w:tcW w:w="3056" w:type="dxa"/>
          </w:tcPr>
          <w:p w14:paraId="7839D7F2">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替换现网绿盟</w:t>
            </w:r>
            <w:r>
              <w:rPr>
                <w:rFonts w:cs="Times New Roman"/>
                <w:kern w:val="2"/>
                <w:sz w:val="21"/>
                <w:szCs w:val="21"/>
                <w14:ligatures w14:val="standardContextual"/>
              </w:rPr>
              <w:t>OSMSNX3-600C-C</w:t>
            </w:r>
            <w:r>
              <w:rPr>
                <w:rFonts w:hint="eastAsia" w:cs="Times New Roman"/>
                <w:kern w:val="2"/>
                <w:sz w:val="21"/>
                <w:szCs w:val="21"/>
                <w14:ligatures w14:val="standardContextual"/>
              </w:rPr>
              <w:t>运维安全管理系统，兼容已有策略和数据</w:t>
            </w:r>
          </w:p>
        </w:tc>
      </w:tr>
      <w:tr w14:paraId="45BA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 w:type="dxa"/>
            <w:shd w:val="clear" w:color="auto" w:fill="auto"/>
            <w:vAlign w:val="center"/>
          </w:tcPr>
          <w:p w14:paraId="3B4BA89D">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3</w:t>
            </w:r>
          </w:p>
        </w:tc>
        <w:tc>
          <w:tcPr>
            <w:tcW w:w="2410" w:type="dxa"/>
            <w:shd w:val="clear" w:color="auto" w:fill="auto"/>
            <w:vAlign w:val="center"/>
          </w:tcPr>
          <w:p w14:paraId="1E82179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网络安全漏洞扫描系统</w:t>
            </w:r>
          </w:p>
        </w:tc>
        <w:tc>
          <w:tcPr>
            <w:tcW w:w="992" w:type="dxa"/>
            <w:shd w:val="clear" w:color="auto" w:fill="auto"/>
            <w:vAlign w:val="center"/>
          </w:tcPr>
          <w:p w14:paraId="60A3814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1</w:t>
            </w:r>
          </w:p>
        </w:tc>
        <w:tc>
          <w:tcPr>
            <w:tcW w:w="1134" w:type="dxa"/>
            <w:vAlign w:val="center"/>
          </w:tcPr>
          <w:p w14:paraId="5C8C2DD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台</w:t>
            </w:r>
          </w:p>
        </w:tc>
        <w:tc>
          <w:tcPr>
            <w:tcW w:w="3056" w:type="dxa"/>
          </w:tcPr>
          <w:p w14:paraId="207727E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替换现网绿盟</w:t>
            </w:r>
            <w:r>
              <w:rPr>
                <w:rFonts w:cs="Times New Roman"/>
                <w:kern w:val="2"/>
                <w:sz w:val="21"/>
                <w:szCs w:val="21"/>
                <w14:ligatures w14:val="standardContextual"/>
              </w:rPr>
              <w:t>RSAS-NX3-X-C</w:t>
            </w:r>
            <w:r>
              <w:rPr>
                <w:rFonts w:hint="eastAsia" w:cs="Times New Roman"/>
                <w:kern w:val="2"/>
                <w:sz w:val="21"/>
                <w:szCs w:val="21"/>
                <w14:ligatures w14:val="standardContextual"/>
              </w:rPr>
              <w:t>网络安全漏洞扫描系统，兼容已有策略和数据</w:t>
            </w:r>
          </w:p>
        </w:tc>
      </w:tr>
      <w:tr w14:paraId="7390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 w:type="dxa"/>
            <w:shd w:val="clear" w:color="auto" w:fill="auto"/>
            <w:vAlign w:val="center"/>
          </w:tcPr>
          <w:p w14:paraId="545EB03A">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4</w:t>
            </w:r>
          </w:p>
        </w:tc>
        <w:tc>
          <w:tcPr>
            <w:tcW w:w="2410" w:type="dxa"/>
            <w:shd w:val="clear" w:color="auto" w:fill="auto"/>
            <w:vAlign w:val="center"/>
          </w:tcPr>
          <w:p w14:paraId="5CD72189">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漏洞无效化系统</w:t>
            </w:r>
          </w:p>
        </w:tc>
        <w:tc>
          <w:tcPr>
            <w:tcW w:w="992" w:type="dxa"/>
            <w:shd w:val="clear" w:color="auto" w:fill="auto"/>
            <w:vAlign w:val="center"/>
          </w:tcPr>
          <w:p w14:paraId="73E19EB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1</w:t>
            </w:r>
          </w:p>
        </w:tc>
        <w:tc>
          <w:tcPr>
            <w:tcW w:w="1134" w:type="dxa"/>
            <w:vAlign w:val="center"/>
          </w:tcPr>
          <w:p w14:paraId="2FF050A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台</w:t>
            </w:r>
          </w:p>
        </w:tc>
        <w:tc>
          <w:tcPr>
            <w:tcW w:w="3056" w:type="dxa"/>
          </w:tcPr>
          <w:p w14:paraId="258E420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新增设备</w:t>
            </w:r>
          </w:p>
        </w:tc>
      </w:tr>
      <w:tr w14:paraId="5FE4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 w:type="dxa"/>
            <w:shd w:val="clear" w:color="auto" w:fill="auto"/>
            <w:vAlign w:val="center"/>
          </w:tcPr>
          <w:p w14:paraId="61B8538D">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5</w:t>
            </w:r>
          </w:p>
        </w:tc>
        <w:tc>
          <w:tcPr>
            <w:tcW w:w="2410" w:type="dxa"/>
            <w:shd w:val="clear" w:color="auto" w:fill="auto"/>
            <w:vAlign w:val="center"/>
          </w:tcPr>
          <w:p w14:paraId="135B97C7">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防毒墙</w:t>
            </w:r>
          </w:p>
        </w:tc>
        <w:tc>
          <w:tcPr>
            <w:tcW w:w="992" w:type="dxa"/>
            <w:shd w:val="clear" w:color="auto" w:fill="auto"/>
            <w:vAlign w:val="center"/>
          </w:tcPr>
          <w:p w14:paraId="36A25E5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1</w:t>
            </w:r>
          </w:p>
        </w:tc>
        <w:tc>
          <w:tcPr>
            <w:tcW w:w="1134" w:type="dxa"/>
            <w:vAlign w:val="center"/>
          </w:tcPr>
          <w:p w14:paraId="53A63223">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台</w:t>
            </w:r>
          </w:p>
        </w:tc>
        <w:tc>
          <w:tcPr>
            <w:tcW w:w="3056" w:type="dxa"/>
          </w:tcPr>
          <w:p w14:paraId="3D5B1CA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新增设备，与现有的</w:t>
            </w:r>
            <w:bookmarkStart w:id="1834" w:name="OLE_LINK79"/>
            <w:r>
              <w:rPr>
                <w:rFonts w:hint="eastAsia" w:cs="Times New Roman"/>
                <w:kern w:val="2"/>
                <w:sz w:val="21"/>
                <w:szCs w:val="21"/>
                <w14:ligatures w14:val="standardContextual"/>
              </w:rPr>
              <w:t>冠群金辰KSGV5000(12000)组成主备节点</w:t>
            </w:r>
            <w:bookmarkEnd w:id="1834"/>
          </w:p>
        </w:tc>
      </w:tr>
      <w:tr w14:paraId="2416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 w:type="dxa"/>
            <w:shd w:val="clear" w:color="auto" w:fill="auto"/>
            <w:vAlign w:val="center"/>
          </w:tcPr>
          <w:p w14:paraId="64BAA149">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6</w:t>
            </w:r>
          </w:p>
        </w:tc>
        <w:tc>
          <w:tcPr>
            <w:tcW w:w="2410" w:type="dxa"/>
            <w:shd w:val="clear" w:color="auto" w:fill="auto"/>
            <w:vAlign w:val="center"/>
          </w:tcPr>
          <w:p w14:paraId="25F6FE07">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负载均衡</w:t>
            </w:r>
          </w:p>
        </w:tc>
        <w:tc>
          <w:tcPr>
            <w:tcW w:w="992" w:type="dxa"/>
            <w:shd w:val="clear" w:color="auto" w:fill="auto"/>
            <w:vAlign w:val="center"/>
          </w:tcPr>
          <w:p w14:paraId="5FC62DA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1</w:t>
            </w:r>
          </w:p>
        </w:tc>
        <w:tc>
          <w:tcPr>
            <w:tcW w:w="1134" w:type="dxa"/>
            <w:vAlign w:val="center"/>
          </w:tcPr>
          <w:p w14:paraId="1203EA7B">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台</w:t>
            </w:r>
          </w:p>
        </w:tc>
        <w:tc>
          <w:tcPr>
            <w:tcW w:w="3056" w:type="dxa"/>
          </w:tcPr>
          <w:p w14:paraId="2B4E0729">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新增设备，与现有神州云科</w:t>
            </w:r>
            <w:r>
              <w:rPr>
                <w:rFonts w:cs="Times New Roman"/>
                <w:kern w:val="2"/>
                <w:sz w:val="21"/>
                <w:szCs w:val="21"/>
                <w14:ligatures w14:val="standardContextual"/>
              </w:rPr>
              <w:t>YK--ADC-i2000-H5</w:t>
            </w:r>
            <w:r>
              <w:rPr>
                <w:rFonts w:hint="eastAsia" w:cs="Times New Roman"/>
                <w:kern w:val="2"/>
                <w:sz w:val="21"/>
                <w:szCs w:val="21"/>
                <w14:ligatures w14:val="standardContextual"/>
              </w:rPr>
              <w:t>负载均衡组成主备节点</w:t>
            </w:r>
          </w:p>
        </w:tc>
      </w:tr>
      <w:tr w14:paraId="63E5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 w:type="dxa"/>
            <w:shd w:val="clear" w:color="auto" w:fill="auto"/>
            <w:vAlign w:val="center"/>
          </w:tcPr>
          <w:p w14:paraId="209918B8">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7</w:t>
            </w:r>
          </w:p>
        </w:tc>
        <w:tc>
          <w:tcPr>
            <w:tcW w:w="2410" w:type="dxa"/>
            <w:shd w:val="clear" w:color="auto" w:fill="auto"/>
            <w:vAlign w:val="center"/>
          </w:tcPr>
          <w:p w14:paraId="01C813E6">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安全运营管理平台</w:t>
            </w:r>
          </w:p>
        </w:tc>
        <w:tc>
          <w:tcPr>
            <w:tcW w:w="992" w:type="dxa"/>
            <w:shd w:val="clear" w:color="auto" w:fill="auto"/>
            <w:vAlign w:val="center"/>
          </w:tcPr>
          <w:p w14:paraId="45EA463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1</w:t>
            </w:r>
          </w:p>
        </w:tc>
        <w:tc>
          <w:tcPr>
            <w:tcW w:w="1134" w:type="dxa"/>
            <w:vAlign w:val="center"/>
          </w:tcPr>
          <w:p w14:paraId="7C134CD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台</w:t>
            </w:r>
          </w:p>
        </w:tc>
        <w:tc>
          <w:tcPr>
            <w:tcW w:w="3056" w:type="dxa"/>
            <w:vAlign w:val="center"/>
          </w:tcPr>
          <w:p w14:paraId="085742A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新增设备</w:t>
            </w:r>
          </w:p>
        </w:tc>
      </w:tr>
      <w:tr w14:paraId="6053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296" w:type="dxa"/>
            <w:gridSpan w:val="5"/>
            <w:shd w:val="clear" w:color="auto" w:fill="auto"/>
            <w:vAlign w:val="center"/>
          </w:tcPr>
          <w:p w14:paraId="7400145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软件部分</w:t>
            </w:r>
          </w:p>
        </w:tc>
      </w:tr>
      <w:tr w14:paraId="6589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 w:type="dxa"/>
            <w:shd w:val="clear" w:color="auto" w:fill="auto"/>
            <w:vAlign w:val="center"/>
          </w:tcPr>
          <w:p w14:paraId="4BD71533">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8</w:t>
            </w:r>
          </w:p>
        </w:tc>
        <w:tc>
          <w:tcPr>
            <w:tcW w:w="2410" w:type="dxa"/>
            <w:shd w:val="clear" w:color="auto" w:fill="auto"/>
            <w:vAlign w:val="center"/>
          </w:tcPr>
          <w:p w14:paraId="1C40F80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零信任控制中心</w:t>
            </w:r>
          </w:p>
        </w:tc>
        <w:tc>
          <w:tcPr>
            <w:tcW w:w="992" w:type="dxa"/>
            <w:shd w:val="clear" w:color="auto" w:fill="auto"/>
            <w:vAlign w:val="center"/>
          </w:tcPr>
          <w:p w14:paraId="4654F1B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1</w:t>
            </w:r>
          </w:p>
        </w:tc>
        <w:tc>
          <w:tcPr>
            <w:tcW w:w="1134" w:type="dxa"/>
            <w:vAlign w:val="center"/>
          </w:tcPr>
          <w:p w14:paraId="76D74B7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套</w:t>
            </w:r>
          </w:p>
        </w:tc>
        <w:tc>
          <w:tcPr>
            <w:tcW w:w="3056" w:type="dxa"/>
          </w:tcPr>
          <w:p w14:paraId="00CF9A1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甲方提供硬件资源，与现有深信服零信任控制中心组成主备节点，并共用新采购用户授权</w:t>
            </w:r>
          </w:p>
        </w:tc>
      </w:tr>
      <w:tr w14:paraId="1D9E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 w:type="dxa"/>
            <w:shd w:val="clear" w:color="auto" w:fill="auto"/>
            <w:vAlign w:val="center"/>
          </w:tcPr>
          <w:p w14:paraId="643F498D">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9</w:t>
            </w:r>
          </w:p>
        </w:tc>
        <w:tc>
          <w:tcPr>
            <w:tcW w:w="2410" w:type="dxa"/>
            <w:shd w:val="clear" w:color="auto" w:fill="auto"/>
            <w:vAlign w:val="center"/>
          </w:tcPr>
          <w:p w14:paraId="522D0D9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零信任安全代理网关</w:t>
            </w:r>
          </w:p>
        </w:tc>
        <w:tc>
          <w:tcPr>
            <w:tcW w:w="992" w:type="dxa"/>
            <w:shd w:val="clear" w:color="auto" w:fill="auto"/>
            <w:vAlign w:val="center"/>
          </w:tcPr>
          <w:p w14:paraId="65F95EB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1</w:t>
            </w:r>
          </w:p>
        </w:tc>
        <w:tc>
          <w:tcPr>
            <w:tcW w:w="1134" w:type="dxa"/>
            <w:vAlign w:val="center"/>
          </w:tcPr>
          <w:p w14:paraId="0DFDCCB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套</w:t>
            </w:r>
          </w:p>
        </w:tc>
        <w:tc>
          <w:tcPr>
            <w:tcW w:w="3056" w:type="dxa"/>
          </w:tcPr>
          <w:p w14:paraId="3EF05E6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甲方提供硬件资源，与现有深信服零信任安全代理网关组成主备节点</w:t>
            </w:r>
          </w:p>
        </w:tc>
      </w:tr>
      <w:bookmarkEnd w:id="1833"/>
    </w:tbl>
    <w:p w14:paraId="2ED7AA0C">
      <w:pPr>
        <w:widowControl w:val="0"/>
        <w:spacing w:line="360" w:lineRule="auto"/>
        <w:ind w:firstLine="420" w:firstLineChars="200"/>
        <w:rPr>
          <w:rFonts w:hint="eastAsia" w:cs="Times New Roman"/>
          <w:kern w:val="2"/>
          <w:sz w:val="21"/>
          <w:szCs w:val="21"/>
          <w14:ligatures w14:val="standardContextual"/>
        </w:rPr>
      </w:pPr>
      <w:bookmarkStart w:id="1835" w:name="_Toc82638998"/>
      <w:bookmarkStart w:id="1836" w:name="_Toc4083238"/>
    </w:p>
    <w:p w14:paraId="56E0F099">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837" w:name="_Toc16755"/>
      <w:r>
        <w:rPr>
          <w:rFonts w:cs="Times New Roman"/>
          <w:b/>
          <w:kern w:val="2"/>
          <w:sz w:val="21"/>
          <w:szCs w:val="21"/>
          <w14:ligatures w14:val="standardContextual"/>
        </w:rPr>
        <w:t>项目工期要求</w:t>
      </w:r>
      <w:bookmarkEnd w:id="1835"/>
      <w:bookmarkEnd w:id="1836"/>
      <w:bookmarkEnd w:id="1837"/>
    </w:p>
    <w:p w14:paraId="3AB2BECB">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本项目</w:t>
      </w:r>
      <w:r>
        <w:rPr>
          <w:rFonts w:cs="Times New Roman"/>
          <w:kern w:val="2"/>
          <w:sz w:val="21"/>
          <w:szCs w:val="21"/>
          <w14:ligatures w14:val="standardContextual"/>
        </w:rPr>
        <w:t>自</w:t>
      </w:r>
      <w:r>
        <w:rPr>
          <w:rFonts w:hint="eastAsia" w:cs="Times New Roman"/>
          <w:kern w:val="2"/>
          <w:sz w:val="21"/>
          <w:szCs w:val="21"/>
          <w14:ligatures w14:val="standardContextual"/>
        </w:rPr>
        <w:t>合同生效之日起</w:t>
      </w:r>
      <w:r>
        <w:rPr>
          <w:rFonts w:cs="Times New Roman"/>
          <w:kern w:val="2"/>
          <w:sz w:val="21"/>
          <w:szCs w:val="21"/>
          <w14:ligatures w14:val="standardContextual"/>
        </w:rPr>
        <w:t>，</w:t>
      </w:r>
      <w:r>
        <w:rPr>
          <w:rFonts w:hint="eastAsia" w:cs="Times New Roman"/>
          <w:kern w:val="2"/>
          <w:sz w:val="21"/>
          <w:szCs w:val="21"/>
          <w14:ligatures w14:val="standardContextual"/>
        </w:rPr>
        <w:t>在6个月内完成项目建设的实施和验收工作</w:t>
      </w:r>
      <w:r>
        <w:rPr>
          <w:rFonts w:cs="Times New Roman"/>
          <w:kern w:val="2"/>
          <w:sz w:val="21"/>
          <w:szCs w:val="21"/>
          <w14:ligatures w14:val="standardContextual"/>
        </w:rPr>
        <w:t>。</w:t>
      </w:r>
    </w:p>
    <w:p w14:paraId="3E0B8B03">
      <w:pPr>
        <w:keepNext/>
        <w:keepLines/>
        <w:widowControl w:val="0"/>
        <w:numPr>
          <w:ilvl w:val="0"/>
          <w:numId w:val="11"/>
        </w:numPr>
        <w:spacing w:line="360" w:lineRule="auto"/>
        <w:ind w:firstLine="200"/>
        <w:outlineLvl w:val="0"/>
        <w:rPr>
          <w:rFonts w:hint="eastAsia" w:cs="Times New Roman"/>
          <w:b/>
          <w:color w:val="000000"/>
          <w:kern w:val="2"/>
          <w:sz w:val="21"/>
          <w:szCs w:val="21"/>
          <w14:ligatures w14:val="standardContextual"/>
        </w:rPr>
      </w:pPr>
      <w:bookmarkStart w:id="1838" w:name="_Toc4083239"/>
      <w:bookmarkStart w:id="1839" w:name="_Toc513642305"/>
      <w:bookmarkStart w:id="1840" w:name="_Toc512646113"/>
      <w:bookmarkStart w:id="1841" w:name="_Toc8944"/>
      <w:bookmarkStart w:id="1842" w:name="_Toc82638999"/>
      <w:bookmarkStart w:id="1843" w:name="_Toc513642542"/>
      <w:r>
        <w:rPr>
          <w:rFonts w:hint="eastAsia" w:cs="Times New Roman"/>
          <w:b/>
          <w:color w:val="000000"/>
          <w:kern w:val="2"/>
          <w:sz w:val="21"/>
          <w:szCs w:val="21"/>
          <w14:ligatures w14:val="standardContextual"/>
        </w:rPr>
        <w:t>总体建设要求</w:t>
      </w:r>
      <w:bookmarkEnd w:id="1838"/>
      <w:bookmarkEnd w:id="1839"/>
      <w:bookmarkEnd w:id="1840"/>
      <w:bookmarkEnd w:id="1841"/>
      <w:bookmarkEnd w:id="1842"/>
      <w:bookmarkEnd w:id="1843"/>
    </w:p>
    <w:p w14:paraId="766E13A4">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844" w:name="_Toc513642309"/>
      <w:bookmarkStart w:id="1845" w:name="_Toc512646117"/>
      <w:bookmarkStart w:id="1846" w:name="_Toc513642546"/>
      <w:bookmarkStart w:id="1847" w:name="_Toc82639001"/>
      <w:bookmarkStart w:id="1848" w:name="_Toc16249"/>
      <w:bookmarkStart w:id="1849" w:name="_Toc4083242"/>
      <w:r>
        <w:rPr>
          <w:rFonts w:hint="eastAsia" w:cs="Times New Roman"/>
          <w:b/>
          <w:kern w:val="2"/>
          <w:sz w:val="21"/>
          <w:szCs w:val="21"/>
          <w14:ligatures w14:val="standardContextual"/>
        </w:rPr>
        <w:t>建设需</w:t>
      </w:r>
      <w:bookmarkEnd w:id="1844"/>
      <w:bookmarkEnd w:id="1845"/>
      <w:bookmarkEnd w:id="1846"/>
      <w:r>
        <w:rPr>
          <w:rFonts w:hint="eastAsia" w:cs="Times New Roman"/>
          <w:b/>
          <w:kern w:val="2"/>
          <w:sz w:val="21"/>
          <w:szCs w:val="21"/>
          <w14:ligatures w14:val="standardContextual"/>
        </w:rPr>
        <w:t>求</w:t>
      </w:r>
      <w:bookmarkEnd w:id="1847"/>
      <w:bookmarkEnd w:id="1848"/>
      <w:bookmarkEnd w:id="1849"/>
    </w:p>
    <w:p w14:paraId="7262B928">
      <w:pPr>
        <w:keepNext/>
        <w:keepLines/>
        <w:widowControl w:val="0"/>
        <w:numPr>
          <w:ilvl w:val="2"/>
          <w:numId w:val="11"/>
        </w:numPr>
        <w:spacing w:line="360" w:lineRule="auto"/>
        <w:ind w:firstLine="200"/>
        <w:outlineLvl w:val="2"/>
        <w:rPr>
          <w:rFonts w:hint="eastAsia" w:cs="Times New Roman"/>
          <w:b/>
          <w:kern w:val="2"/>
          <w:sz w:val="21"/>
          <w:szCs w:val="21"/>
          <w14:ligatures w14:val="standardContextual"/>
        </w:rPr>
      </w:pPr>
      <w:bookmarkStart w:id="1850" w:name="_Toc5264"/>
      <w:bookmarkStart w:id="1851" w:name="_Hlk200476381"/>
      <w:r>
        <w:rPr>
          <w:rFonts w:hint="eastAsia" w:cs="Times New Roman"/>
          <w:b/>
          <w:kern w:val="2"/>
          <w:sz w:val="21"/>
          <w:szCs w:val="21"/>
          <w14:ligatures w14:val="standardContextual"/>
        </w:rPr>
        <w:t>设备采购</w:t>
      </w:r>
      <w:bookmarkEnd w:id="1850"/>
    </w:p>
    <w:p w14:paraId="069664B4">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根据建设需求，本次需要采购设备详细参数要求如下。</w:t>
      </w:r>
    </w:p>
    <w:p w14:paraId="5EAD189E">
      <w:pPr>
        <w:widowControl w:val="0"/>
        <w:spacing w:line="360" w:lineRule="auto"/>
        <w:ind w:firstLine="420" w:firstLineChars="200"/>
        <w:rPr>
          <w:rFonts w:hint="eastAsia" w:cs="Times New Roman"/>
          <w:kern w:val="2"/>
          <w:sz w:val="21"/>
          <w:szCs w:val="21"/>
          <w14:ligatures w14:val="standardContextual"/>
        </w:rPr>
      </w:pPr>
      <w:bookmarkStart w:id="1852" w:name="_Hlk150846148"/>
      <w:r>
        <w:rPr>
          <w:rFonts w:hint="eastAsia" w:cs="Times New Roman"/>
          <w:kern w:val="2"/>
          <w:sz w:val="21"/>
          <w:szCs w:val="21"/>
          <w14:ligatures w14:val="standardContextual"/>
        </w:rPr>
        <w:t>指标按重要性分为“★”“#”和一般无标示指标。★代表实质性指标，不满足该指标项将导致投标被拒绝， #代表重要指标，无标识则表示一般指标项。</w:t>
      </w:r>
    </w:p>
    <w:p w14:paraId="58AD90F7">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1B346976">
      <w:pPr>
        <w:keepNext/>
        <w:keepLines/>
        <w:widowControl w:val="0"/>
        <w:numPr>
          <w:ilvl w:val="3"/>
          <w:numId w:val="11"/>
        </w:numPr>
        <w:spacing w:line="360" w:lineRule="auto"/>
        <w:ind w:firstLine="200"/>
        <w:outlineLvl w:val="3"/>
        <w:rPr>
          <w:rFonts w:hint="eastAsia" w:ascii="等线 Light" w:hAnsi="等线 Light" w:cs="Times New Roman"/>
          <w:b/>
          <w:kern w:val="2"/>
          <w:sz w:val="21"/>
          <w:szCs w:val="21"/>
          <w14:ligatures w14:val="standardContextual"/>
        </w:rPr>
      </w:pPr>
      <w:r>
        <w:rPr>
          <w:rFonts w:hint="eastAsia" w:ascii="等线 Light" w:hAnsi="等线 Light" w:cs="Times New Roman"/>
          <w:b/>
          <w:kern w:val="2"/>
          <w:sz w:val="21"/>
          <w:szCs w:val="21"/>
          <w14:ligatures w14:val="standardContextual"/>
        </w:rPr>
        <w:t>入侵防护系统（2台）</w:t>
      </w:r>
    </w:p>
    <w:tbl>
      <w:tblPr>
        <w:tblStyle w:val="31"/>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2"/>
        <w:gridCol w:w="670"/>
        <w:gridCol w:w="1568"/>
        <w:gridCol w:w="4570"/>
        <w:gridCol w:w="1076"/>
      </w:tblGrid>
      <w:tr w14:paraId="1DE1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shd w:val="clear" w:color="auto" w:fill="E7E6E6"/>
            <w:vAlign w:val="center"/>
          </w:tcPr>
          <w:p w14:paraId="0564D61C">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序号</w:t>
            </w:r>
          </w:p>
        </w:tc>
        <w:tc>
          <w:tcPr>
            <w:tcW w:w="401" w:type="pct"/>
            <w:shd w:val="clear" w:color="auto" w:fill="E7E6E6"/>
            <w:tcMar>
              <w:top w:w="8" w:type="dxa"/>
              <w:left w:w="8" w:type="dxa"/>
              <w:right w:w="8" w:type="dxa"/>
            </w:tcMar>
            <w:vAlign w:val="center"/>
          </w:tcPr>
          <w:p w14:paraId="4AEC7577">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关键指标</w:t>
            </w:r>
          </w:p>
        </w:tc>
        <w:tc>
          <w:tcPr>
            <w:tcW w:w="939" w:type="pct"/>
            <w:shd w:val="clear" w:color="auto" w:fill="E7E6E6"/>
            <w:tcMar>
              <w:top w:w="8" w:type="dxa"/>
              <w:left w:w="8" w:type="dxa"/>
              <w:right w:w="8" w:type="dxa"/>
            </w:tcMar>
            <w:vAlign w:val="center"/>
          </w:tcPr>
          <w:p w14:paraId="5CDDFBA7">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产品要求</w:t>
            </w:r>
          </w:p>
        </w:tc>
        <w:tc>
          <w:tcPr>
            <w:tcW w:w="2736" w:type="pct"/>
            <w:shd w:val="clear" w:color="auto" w:fill="E7E6E6"/>
            <w:tcMar>
              <w:top w:w="8" w:type="dxa"/>
              <w:left w:w="8" w:type="dxa"/>
              <w:right w:w="8" w:type="dxa"/>
            </w:tcMar>
            <w:vAlign w:val="center"/>
          </w:tcPr>
          <w:p w14:paraId="6D955B92">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技术参数</w:t>
            </w:r>
          </w:p>
        </w:tc>
        <w:tc>
          <w:tcPr>
            <w:tcW w:w="644" w:type="pct"/>
            <w:shd w:val="clear" w:color="auto" w:fill="E7E6E6"/>
            <w:vAlign w:val="center"/>
          </w:tcPr>
          <w:p w14:paraId="4BCCC2C6">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证明材料是否要求</w:t>
            </w:r>
          </w:p>
        </w:tc>
      </w:tr>
      <w:tr w14:paraId="5C9A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5AD048DD">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55A890B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939" w:type="pct"/>
            <w:tcMar>
              <w:top w:w="8" w:type="dxa"/>
              <w:left w:w="8" w:type="dxa"/>
              <w:right w:w="8" w:type="dxa"/>
            </w:tcMar>
            <w:vAlign w:val="center"/>
          </w:tcPr>
          <w:p w14:paraId="5ADC80F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硬件规格</w:t>
            </w:r>
          </w:p>
        </w:tc>
        <w:tc>
          <w:tcPr>
            <w:tcW w:w="2736" w:type="pct"/>
            <w:tcMar>
              <w:top w:w="8" w:type="dxa"/>
              <w:left w:w="8" w:type="dxa"/>
              <w:right w:w="8" w:type="dxa"/>
            </w:tcMar>
            <w:vAlign w:val="center"/>
          </w:tcPr>
          <w:p w14:paraId="2765834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1U标准机架式硬件设备，搭配冗余电源，具有国产化的操作系统和CPU。提供的产品至少包含2*USB接口、1*RJ45串口、2*千兆电口（1*管理，1*热备）、6*GE电口（支持Bypass）、4*SFP光口，2个接口扩展槽位；硬盘容量≥4T</w:t>
            </w:r>
          </w:p>
        </w:tc>
        <w:tc>
          <w:tcPr>
            <w:tcW w:w="644" w:type="pct"/>
            <w:vAlign w:val="center"/>
          </w:tcPr>
          <w:p w14:paraId="31DCD4F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39D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0983D6C8">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2A8FF0E7">
            <w:pPr>
              <w:widowControl w:val="0"/>
              <w:spacing w:line="360" w:lineRule="auto"/>
              <w:jc w:val="center"/>
              <w:rPr>
                <w:rFonts w:hint="eastAsia" w:cs="Times New Roman"/>
                <w:kern w:val="2"/>
                <w:sz w:val="21"/>
                <w:szCs w:val="21"/>
                <w14:ligatures w14:val="standardContextual"/>
              </w:rPr>
            </w:pPr>
            <w:r>
              <w:rPr>
                <w:rFonts w:cs="Times New Roman"/>
                <w:kern w:val="2"/>
                <w:sz w:val="21"/>
                <w:szCs w:val="21"/>
                <w14:ligatures w14:val="standardContextual"/>
              </w:rPr>
              <w:t>★</w:t>
            </w:r>
          </w:p>
        </w:tc>
        <w:tc>
          <w:tcPr>
            <w:tcW w:w="939" w:type="pct"/>
            <w:tcMar>
              <w:top w:w="8" w:type="dxa"/>
              <w:left w:w="8" w:type="dxa"/>
              <w:right w:w="8" w:type="dxa"/>
            </w:tcMar>
            <w:vAlign w:val="center"/>
          </w:tcPr>
          <w:p w14:paraId="3E282EA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性能要求</w:t>
            </w:r>
          </w:p>
        </w:tc>
        <w:tc>
          <w:tcPr>
            <w:tcW w:w="2736" w:type="pct"/>
            <w:tcMar>
              <w:top w:w="8" w:type="dxa"/>
              <w:left w:w="8" w:type="dxa"/>
              <w:right w:w="8" w:type="dxa"/>
            </w:tcMar>
            <w:vAlign w:val="center"/>
          </w:tcPr>
          <w:p w14:paraId="0CF6D27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网络层吞吐量≥12G，应用层吞吐≥3G，每秒新增会话数≥25万，最大并发会话数≥400万。</w:t>
            </w:r>
          </w:p>
        </w:tc>
        <w:tc>
          <w:tcPr>
            <w:tcW w:w="644" w:type="pct"/>
            <w:vAlign w:val="center"/>
          </w:tcPr>
          <w:p w14:paraId="3188B1A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138C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0310D4D8">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2E2BB7B4">
            <w:pPr>
              <w:widowControl w:val="0"/>
              <w:spacing w:line="360" w:lineRule="auto"/>
              <w:jc w:val="center"/>
              <w:rPr>
                <w:rFonts w:hint="eastAsia" w:cs="Times New Roman"/>
                <w:kern w:val="2"/>
                <w:sz w:val="21"/>
                <w:szCs w:val="21"/>
                <w14:ligatures w14:val="standardContextual"/>
              </w:rPr>
            </w:pPr>
          </w:p>
        </w:tc>
        <w:tc>
          <w:tcPr>
            <w:tcW w:w="939" w:type="pct"/>
            <w:vMerge w:val="restart"/>
            <w:tcMar>
              <w:top w:w="8" w:type="dxa"/>
              <w:left w:w="8" w:type="dxa"/>
              <w:right w:w="8" w:type="dxa"/>
            </w:tcMar>
            <w:vAlign w:val="center"/>
          </w:tcPr>
          <w:p w14:paraId="06FC9F5E">
            <w:pPr>
              <w:widowControl w:val="0"/>
              <w:spacing w:line="360" w:lineRule="auto"/>
              <w:rPr>
                <w:rFonts w:hint="eastAsia" w:cs="Times New Roman"/>
                <w:kern w:val="2"/>
                <w:sz w:val="21"/>
                <w:szCs w:val="21"/>
                <w14:ligatures w14:val="standardContextual"/>
              </w:rPr>
            </w:pPr>
            <w:r>
              <w:rPr>
                <w:rFonts w:cs="Times New Roman"/>
                <w:kern w:val="2"/>
                <w:sz w:val="21"/>
                <w:szCs w:val="21"/>
                <w14:ligatures w14:val="standardContextual"/>
              </w:rPr>
              <w:t>入侵检测防护</w:t>
            </w:r>
          </w:p>
        </w:tc>
        <w:tc>
          <w:tcPr>
            <w:tcW w:w="2736" w:type="pct"/>
            <w:tcMar>
              <w:top w:w="8" w:type="dxa"/>
              <w:left w:w="8" w:type="dxa"/>
              <w:right w:w="8" w:type="dxa"/>
            </w:tcMar>
            <w:vAlign w:val="center"/>
          </w:tcPr>
          <w:p w14:paraId="4D53175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系统攻击特征库数量不少于14000条。（需提供产品界面截图</w:t>
            </w:r>
            <w:r>
              <w:rPr>
                <w:rFonts w:hint="eastAsia" w:ascii="等线" w:cs="Times New Roman"/>
                <w:kern w:val="2"/>
                <w:sz w:val="21"/>
                <w:szCs w:val="21"/>
                <w14:ligatures w14:val="standardContextual"/>
              </w:rPr>
              <w:t>）</w:t>
            </w:r>
          </w:p>
        </w:tc>
        <w:tc>
          <w:tcPr>
            <w:tcW w:w="644" w:type="pct"/>
            <w:vAlign w:val="center"/>
          </w:tcPr>
          <w:p w14:paraId="53AA3CC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0449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7BD0C70B">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6E9E7F76">
            <w:pPr>
              <w:widowControl w:val="0"/>
              <w:spacing w:line="360" w:lineRule="auto"/>
              <w:jc w:val="center"/>
              <w:rPr>
                <w:rFonts w:hint="eastAsia" w:cs="Times New Roman"/>
                <w:kern w:val="2"/>
                <w:sz w:val="21"/>
                <w:szCs w:val="21"/>
                <w14:ligatures w14:val="standardContextual"/>
              </w:rPr>
            </w:pPr>
          </w:p>
        </w:tc>
        <w:tc>
          <w:tcPr>
            <w:tcW w:w="939" w:type="pct"/>
            <w:vMerge w:val="continue"/>
            <w:tcMar>
              <w:top w:w="8" w:type="dxa"/>
              <w:left w:w="8" w:type="dxa"/>
              <w:right w:w="8" w:type="dxa"/>
            </w:tcMar>
            <w:vAlign w:val="center"/>
          </w:tcPr>
          <w:p w14:paraId="0F03AE12">
            <w:pPr>
              <w:widowControl w:val="0"/>
              <w:spacing w:line="360" w:lineRule="auto"/>
              <w:rPr>
                <w:rFonts w:hint="eastAsia" w:cs="Times New Roman"/>
                <w:kern w:val="2"/>
                <w:sz w:val="21"/>
                <w:szCs w:val="21"/>
                <w14:ligatures w14:val="standardContextual"/>
              </w:rPr>
            </w:pPr>
          </w:p>
        </w:tc>
        <w:tc>
          <w:tcPr>
            <w:tcW w:w="2736" w:type="pct"/>
            <w:tcMar>
              <w:top w:w="8" w:type="dxa"/>
              <w:left w:w="8" w:type="dxa"/>
              <w:right w:w="8" w:type="dxa"/>
            </w:tcMar>
            <w:vAlign w:val="center"/>
          </w:tcPr>
          <w:p w14:paraId="62D28EA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系统应能够有效抵御SQL注入、XSS注入、webshell等多种常见的应用层安全威胁，并可配置SQL注入白名单。</w:t>
            </w:r>
          </w:p>
        </w:tc>
        <w:tc>
          <w:tcPr>
            <w:tcW w:w="644" w:type="pct"/>
            <w:vAlign w:val="center"/>
          </w:tcPr>
          <w:p w14:paraId="78A82D9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55B5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3E112C5B">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344A366B">
            <w:pPr>
              <w:widowControl w:val="0"/>
              <w:spacing w:line="360" w:lineRule="auto"/>
              <w:jc w:val="center"/>
              <w:rPr>
                <w:rFonts w:hint="eastAsia" w:cs="Times New Roman"/>
                <w:kern w:val="2"/>
                <w:sz w:val="21"/>
                <w:szCs w:val="21"/>
                <w14:ligatures w14:val="standardContextual"/>
              </w:rPr>
            </w:pPr>
          </w:p>
        </w:tc>
        <w:tc>
          <w:tcPr>
            <w:tcW w:w="939" w:type="pct"/>
            <w:tcMar>
              <w:top w:w="8" w:type="dxa"/>
              <w:left w:w="8" w:type="dxa"/>
              <w:right w:w="8" w:type="dxa"/>
            </w:tcMar>
            <w:vAlign w:val="center"/>
          </w:tcPr>
          <w:p w14:paraId="6573B98E">
            <w:pPr>
              <w:widowControl w:val="0"/>
              <w:spacing w:line="360" w:lineRule="auto"/>
              <w:rPr>
                <w:rFonts w:hint="eastAsia" w:cs="Times New Roman"/>
                <w:kern w:val="2"/>
                <w:sz w:val="21"/>
                <w:szCs w:val="21"/>
                <w14:ligatures w14:val="standardContextual"/>
              </w:rPr>
            </w:pPr>
            <w:r>
              <w:rPr>
                <w:rFonts w:cs="Times New Roman"/>
                <w:kern w:val="2"/>
                <w:sz w:val="21"/>
                <w:szCs w:val="21"/>
                <w14:ligatures w14:val="standardContextual"/>
              </w:rPr>
              <w:t>挖矿专项</w:t>
            </w:r>
          </w:p>
        </w:tc>
        <w:tc>
          <w:tcPr>
            <w:tcW w:w="2736" w:type="pct"/>
            <w:tcMar>
              <w:top w:w="8" w:type="dxa"/>
              <w:left w:w="8" w:type="dxa"/>
              <w:right w:w="8" w:type="dxa"/>
            </w:tcMar>
            <w:vAlign w:val="center"/>
          </w:tcPr>
          <w:p w14:paraId="113BB33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支持对挖矿行为进行防护，并可将产生的挖矿行为生成日志，可通过源地址和目的地地址和信誉等级进行查询，可展示挖矿日志的威胁类型、挖矿值及协议等。</w:t>
            </w:r>
            <w:r>
              <w:rPr>
                <w:rFonts w:hint="eastAsia" w:ascii="等线" w:cs="Times New Roman"/>
                <w:color w:val="000000"/>
                <w:kern w:val="2"/>
                <w:sz w:val="21"/>
                <w:szCs w:val="21"/>
                <w14:ligatures w14:val="standardContextual"/>
              </w:rPr>
              <w:t>（需提供</w:t>
            </w:r>
            <w:r>
              <w:rPr>
                <w:rFonts w:hint="eastAsia" w:cs="Times New Roman"/>
                <w:kern w:val="2"/>
                <w:sz w:val="21"/>
                <w:szCs w:val="21"/>
                <w14:ligatures w14:val="standardContextual"/>
              </w:rPr>
              <w:t>产品界面截图和</w:t>
            </w:r>
            <w:r>
              <w:rPr>
                <w:rFonts w:hint="eastAsia" w:cs="Times New Roman"/>
                <w:color w:val="000000"/>
                <w:kern w:val="2"/>
                <w:sz w:val="21"/>
                <w:szCs w:val="21"/>
                <w14:ligatures w14:val="standardContextual"/>
              </w:rPr>
              <w:t>CMA或CNAS检测机构出具的测试报告）</w:t>
            </w:r>
          </w:p>
        </w:tc>
        <w:tc>
          <w:tcPr>
            <w:tcW w:w="644" w:type="pct"/>
            <w:vAlign w:val="center"/>
          </w:tcPr>
          <w:p w14:paraId="52D58A4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426E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4B05A314">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0EAA44F4">
            <w:pPr>
              <w:widowControl w:val="0"/>
              <w:spacing w:line="360" w:lineRule="auto"/>
              <w:jc w:val="center"/>
              <w:rPr>
                <w:rFonts w:hint="eastAsia" w:cs="Times New Roman"/>
                <w:kern w:val="2"/>
                <w:sz w:val="21"/>
                <w:szCs w:val="21"/>
                <w14:ligatures w14:val="standardContextual"/>
              </w:rPr>
            </w:pPr>
          </w:p>
        </w:tc>
        <w:tc>
          <w:tcPr>
            <w:tcW w:w="939" w:type="pct"/>
            <w:tcMar>
              <w:top w:w="8" w:type="dxa"/>
              <w:left w:w="8" w:type="dxa"/>
              <w:right w:w="8" w:type="dxa"/>
            </w:tcMar>
            <w:vAlign w:val="center"/>
          </w:tcPr>
          <w:p w14:paraId="1AA3BA85">
            <w:pPr>
              <w:widowControl w:val="0"/>
              <w:spacing w:line="360" w:lineRule="auto"/>
              <w:rPr>
                <w:rFonts w:hint="eastAsia" w:cs="Times New Roman"/>
                <w:kern w:val="2"/>
                <w:sz w:val="21"/>
                <w:szCs w:val="21"/>
                <w14:ligatures w14:val="standardContextual"/>
              </w:rPr>
            </w:pPr>
            <w:r>
              <w:rPr>
                <w:rFonts w:cs="Times New Roman"/>
                <w:kern w:val="2"/>
                <w:sz w:val="21"/>
                <w:szCs w:val="21"/>
                <w14:ligatures w14:val="standardContextual"/>
              </w:rPr>
              <w:t>应用识别</w:t>
            </w:r>
          </w:p>
        </w:tc>
        <w:tc>
          <w:tcPr>
            <w:tcW w:w="2736" w:type="pct"/>
            <w:tcMar>
              <w:top w:w="8" w:type="dxa"/>
              <w:left w:w="8" w:type="dxa"/>
              <w:right w:w="8" w:type="dxa"/>
            </w:tcMar>
            <w:vAlign w:val="center"/>
          </w:tcPr>
          <w:p w14:paraId="4A95A12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系统应能识别主流的应用程序，识别不少于6000个应用。支持至少5G应用，支持PFCP、NAS、HTTP2、S1AP、MML等协议；至少20种工控协议，如IEC 、DNP3、CIP、Modbus 等协议。</w:t>
            </w:r>
          </w:p>
        </w:tc>
        <w:tc>
          <w:tcPr>
            <w:tcW w:w="644" w:type="pct"/>
            <w:vAlign w:val="center"/>
          </w:tcPr>
          <w:p w14:paraId="2339D186">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14F3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02622CB9">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013F3B58">
            <w:pPr>
              <w:widowControl w:val="0"/>
              <w:spacing w:line="360" w:lineRule="auto"/>
              <w:jc w:val="center"/>
              <w:rPr>
                <w:rFonts w:hint="eastAsia" w:cs="Times New Roman"/>
                <w:kern w:val="2"/>
                <w:sz w:val="21"/>
                <w:szCs w:val="21"/>
                <w14:ligatures w14:val="standardContextual"/>
              </w:rPr>
            </w:pPr>
          </w:p>
        </w:tc>
        <w:tc>
          <w:tcPr>
            <w:tcW w:w="939" w:type="pct"/>
            <w:vMerge w:val="restart"/>
            <w:tcMar>
              <w:top w:w="8" w:type="dxa"/>
              <w:left w:w="8" w:type="dxa"/>
              <w:right w:w="8" w:type="dxa"/>
            </w:tcMar>
            <w:vAlign w:val="center"/>
          </w:tcPr>
          <w:p w14:paraId="52033FD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DNS安全</w:t>
            </w:r>
          </w:p>
        </w:tc>
        <w:tc>
          <w:tcPr>
            <w:tcW w:w="2736" w:type="pct"/>
            <w:tcMar>
              <w:top w:w="8" w:type="dxa"/>
              <w:left w:w="8" w:type="dxa"/>
              <w:right w:w="8" w:type="dxa"/>
            </w:tcMar>
            <w:vAlign w:val="center"/>
          </w:tcPr>
          <w:p w14:paraId="7DAD6B0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系统支持手动添加非法域名到黑名单的功能。</w:t>
            </w:r>
          </w:p>
        </w:tc>
        <w:tc>
          <w:tcPr>
            <w:tcW w:w="644" w:type="pct"/>
            <w:vAlign w:val="center"/>
          </w:tcPr>
          <w:p w14:paraId="0FE2C12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5A6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0F7264F9">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4D1D47A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939" w:type="pct"/>
            <w:vMerge w:val="continue"/>
            <w:tcMar>
              <w:top w:w="8" w:type="dxa"/>
              <w:left w:w="8" w:type="dxa"/>
              <w:right w:w="8" w:type="dxa"/>
            </w:tcMar>
            <w:vAlign w:val="center"/>
          </w:tcPr>
          <w:p w14:paraId="1883648D">
            <w:pPr>
              <w:widowControl w:val="0"/>
              <w:spacing w:line="360" w:lineRule="auto"/>
              <w:rPr>
                <w:rFonts w:hint="eastAsia" w:cs="Times New Roman"/>
                <w:kern w:val="2"/>
                <w:sz w:val="21"/>
                <w:szCs w:val="21"/>
                <w14:ligatures w14:val="standardContextual"/>
              </w:rPr>
            </w:pPr>
          </w:p>
        </w:tc>
        <w:tc>
          <w:tcPr>
            <w:tcW w:w="2736" w:type="pct"/>
            <w:tcMar>
              <w:top w:w="8" w:type="dxa"/>
              <w:left w:w="8" w:type="dxa"/>
              <w:right w:w="8" w:type="dxa"/>
            </w:tcMar>
            <w:vAlign w:val="center"/>
          </w:tcPr>
          <w:p w14:paraId="4A539A5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支持DGA域名检测，支持DGA本地、远程升级方式，通过启动 DGA 域名检测，可将DGA 检测到的DNS安全事件进行告警，（需提供产品界面截图和CMA或CNAS检测机构出具的测试报告）</w:t>
            </w:r>
          </w:p>
        </w:tc>
        <w:tc>
          <w:tcPr>
            <w:tcW w:w="644" w:type="pct"/>
            <w:vAlign w:val="center"/>
          </w:tcPr>
          <w:p w14:paraId="046E4D8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7995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116F9892">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7B70A8AC">
            <w:pPr>
              <w:widowControl w:val="0"/>
              <w:spacing w:line="360" w:lineRule="auto"/>
              <w:jc w:val="center"/>
              <w:rPr>
                <w:rFonts w:hint="eastAsia" w:cs="Times New Roman"/>
                <w:kern w:val="2"/>
                <w:sz w:val="21"/>
                <w:szCs w:val="21"/>
                <w14:ligatures w14:val="standardContextual"/>
              </w:rPr>
            </w:pPr>
          </w:p>
        </w:tc>
        <w:tc>
          <w:tcPr>
            <w:tcW w:w="939" w:type="pct"/>
            <w:vMerge w:val="restart"/>
            <w:tcMar>
              <w:top w:w="8" w:type="dxa"/>
              <w:left w:w="8" w:type="dxa"/>
              <w:right w:w="8" w:type="dxa"/>
            </w:tcMar>
            <w:vAlign w:val="center"/>
          </w:tcPr>
          <w:p w14:paraId="61068C8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安全策略</w:t>
            </w:r>
          </w:p>
        </w:tc>
        <w:tc>
          <w:tcPr>
            <w:tcW w:w="2736" w:type="pct"/>
            <w:tcMar>
              <w:top w:w="8" w:type="dxa"/>
              <w:left w:w="8" w:type="dxa"/>
              <w:right w:w="8" w:type="dxa"/>
            </w:tcMar>
            <w:vAlign w:val="center"/>
          </w:tcPr>
          <w:p w14:paraId="4C14CE09">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通过X-Forwarded-For、X-Real-IP、Cdn-Src-IP来识别通过HTTP代理或负载均衡方式连接到Web服务的客户端最原始的IP地址，并可自定义X-Forwarded-For、X-Real-IP、Cdn-Src-IP三个字段的识别优先级顺序。</w:t>
            </w:r>
            <w:r>
              <w:rPr>
                <w:rFonts w:hint="eastAsia" w:ascii="等线" w:cs="Times New Roman"/>
                <w:kern w:val="2"/>
                <w:sz w:val="21"/>
                <w:szCs w:val="21"/>
                <w14:ligatures w14:val="standardContextual"/>
              </w:rPr>
              <w:t>（需提供产品界面截图证明）。</w:t>
            </w:r>
          </w:p>
        </w:tc>
        <w:tc>
          <w:tcPr>
            <w:tcW w:w="644" w:type="pct"/>
            <w:vAlign w:val="center"/>
          </w:tcPr>
          <w:p w14:paraId="3CAEDF7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580C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25697AC7">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5ACACDF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939" w:type="pct"/>
            <w:vMerge w:val="continue"/>
            <w:tcMar>
              <w:top w:w="8" w:type="dxa"/>
              <w:left w:w="8" w:type="dxa"/>
              <w:right w:w="8" w:type="dxa"/>
            </w:tcMar>
            <w:vAlign w:val="center"/>
          </w:tcPr>
          <w:p w14:paraId="7B2C7509">
            <w:pPr>
              <w:widowControl w:val="0"/>
              <w:spacing w:line="360" w:lineRule="auto"/>
              <w:rPr>
                <w:rFonts w:hint="eastAsia" w:cs="Times New Roman"/>
                <w:kern w:val="2"/>
                <w:sz w:val="21"/>
                <w:szCs w:val="21"/>
                <w14:ligatures w14:val="standardContextual"/>
              </w:rPr>
            </w:pPr>
          </w:p>
        </w:tc>
        <w:tc>
          <w:tcPr>
            <w:tcW w:w="2736" w:type="pct"/>
            <w:tcMar>
              <w:top w:w="8" w:type="dxa"/>
              <w:left w:w="8" w:type="dxa"/>
              <w:right w:w="8" w:type="dxa"/>
            </w:tcMar>
            <w:vAlign w:val="center"/>
          </w:tcPr>
          <w:p w14:paraId="54416650">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支持不少于1000条访问控制策略，可基于IP地址、端口（单个、多个和范围）、协议、动作（阻断、允许）进行访问策略配置，并可支持是否生成访问控制策略的会话日志生成。</w:t>
            </w:r>
            <w:r>
              <w:rPr>
                <w:rFonts w:hint="eastAsia" w:ascii="等线" w:cs="Times New Roman"/>
                <w:kern w:val="2"/>
                <w:sz w:val="21"/>
                <w:szCs w:val="21"/>
                <w14:ligatures w14:val="standardContextual"/>
              </w:rPr>
              <w:t>（需提供产品界面截图证明）。</w:t>
            </w:r>
          </w:p>
        </w:tc>
        <w:tc>
          <w:tcPr>
            <w:tcW w:w="644" w:type="pct"/>
            <w:vAlign w:val="center"/>
          </w:tcPr>
          <w:p w14:paraId="4B67643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3571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1E447C4D">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10F38EBF">
            <w:pPr>
              <w:widowControl w:val="0"/>
              <w:spacing w:line="360" w:lineRule="auto"/>
              <w:jc w:val="center"/>
              <w:rPr>
                <w:rFonts w:hint="eastAsia" w:cs="Times New Roman"/>
                <w:kern w:val="2"/>
                <w:sz w:val="21"/>
                <w:szCs w:val="21"/>
                <w14:ligatures w14:val="standardContextual"/>
              </w:rPr>
            </w:pPr>
          </w:p>
        </w:tc>
        <w:tc>
          <w:tcPr>
            <w:tcW w:w="939" w:type="pct"/>
            <w:vMerge w:val="restart"/>
            <w:tcMar>
              <w:top w:w="8" w:type="dxa"/>
              <w:left w:w="8" w:type="dxa"/>
              <w:right w:w="8" w:type="dxa"/>
            </w:tcMar>
            <w:vAlign w:val="center"/>
          </w:tcPr>
          <w:p w14:paraId="348AD038">
            <w:pPr>
              <w:widowControl w:val="0"/>
              <w:spacing w:line="360" w:lineRule="auto"/>
              <w:rPr>
                <w:rFonts w:hint="eastAsia" w:cs="Times New Roman"/>
                <w:kern w:val="2"/>
                <w:sz w:val="21"/>
                <w:szCs w:val="21"/>
                <w14:ligatures w14:val="standardContextual"/>
              </w:rPr>
            </w:pPr>
            <w:r>
              <w:rPr>
                <w:rFonts w:cs="Times New Roman"/>
                <w:kern w:val="2"/>
                <w:sz w:val="21"/>
                <w:szCs w:val="21"/>
                <w14:ligatures w14:val="standardContextual"/>
              </w:rPr>
              <w:t>状态监控</w:t>
            </w:r>
          </w:p>
        </w:tc>
        <w:tc>
          <w:tcPr>
            <w:tcW w:w="2736" w:type="pct"/>
            <w:tcMar>
              <w:top w:w="8" w:type="dxa"/>
              <w:left w:w="8" w:type="dxa"/>
              <w:right w:w="8" w:type="dxa"/>
            </w:tcMar>
            <w:vAlign w:val="center"/>
          </w:tcPr>
          <w:p w14:paraId="1461EA2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可通过各种统计分析自行选择呈现当前整体威胁状态：如威胁事件级别分布、入侵事件-攻击类别分布、攻击类别趋势、TOP入侵事件目的IP、入侵事件发生趋势等等，支持TOP5、10展示。</w:t>
            </w:r>
            <w:r>
              <w:rPr>
                <w:rFonts w:hint="eastAsia" w:ascii="等线" w:cs="Times New Roman"/>
                <w:kern w:val="2"/>
                <w:sz w:val="21"/>
                <w:szCs w:val="21"/>
                <w14:ligatures w14:val="standardContextual"/>
              </w:rPr>
              <w:t>。</w:t>
            </w:r>
          </w:p>
        </w:tc>
        <w:tc>
          <w:tcPr>
            <w:tcW w:w="644" w:type="pct"/>
            <w:vAlign w:val="center"/>
          </w:tcPr>
          <w:p w14:paraId="57EB6F3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2EBE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32769A19">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66251E4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939" w:type="pct"/>
            <w:vMerge w:val="continue"/>
            <w:tcMar>
              <w:top w:w="8" w:type="dxa"/>
              <w:left w:w="8" w:type="dxa"/>
              <w:right w:w="8" w:type="dxa"/>
            </w:tcMar>
            <w:vAlign w:val="center"/>
          </w:tcPr>
          <w:p w14:paraId="3DE98AA4">
            <w:pPr>
              <w:widowControl w:val="0"/>
              <w:spacing w:line="360" w:lineRule="auto"/>
              <w:rPr>
                <w:rFonts w:hint="eastAsia" w:cs="Times New Roman"/>
                <w:kern w:val="2"/>
                <w:sz w:val="21"/>
                <w:szCs w:val="21"/>
                <w14:ligatures w14:val="standardContextual"/>
              </w:rPr>
            </w:pPr>
          </w:p>
        </w:tc>
        <w:tc>
          <w:tcPr>
            <w:tcW w:w="2736" w:type="pct"/>
            <w:tcMar>
              <w:top w:w="8" w:type="dxa"/>
              <w:left w:w="8" w:type="dxa"/>
              <w:right w:w="8" w:type="dxa"/>
            </w:tcMar>
            <w:vAlign w:val="center"/>
          </w:tcPr>
          <w:p w14:paraId="017F6D0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首页状态分布支持对威胁事件分布、入侵事件-攻击类别分布、入侵事件-攻击类别趋势、TOP入侵事件、TOP入侵事件目的IP、TOP入侵事件源IP、TOP源IP地理分布等威胁事件的下钻分析，点击对应的威胁事件可下钻到对应日志分类查看威胁事件的详细信息。</w:t>
            </w:r>
            <w:r>
              <w:rPr>
                <w:rFonts w:hint="eastAsia" w:ascii="等线" w:cs="Times New Roman"/>
                <w:kern w:val="2"/>
                <w:sz w:val="21"/>
                <w:szCs w:val="21"/>
                <w14:ligatures w14:val="standardContextual"/>
              </w:rPr>
              <w:t>（需提供产品界面截图证明）。</w:t>
            </w:r>
          </w:p>
        </w:tc>
        <w:tc>
          <w:tcPr>
            <w:tcW w:w="644" w:type="pct"/>
            <w:vAlign w:val="center"/>
          </w:tcPr>
          <w:p w14:paraId="1DC1ECB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7175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0BC37B97">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36A91FEC">
            <w:pPr>
              <w:widowControl w:val="0"/>
              <w:spacing w:line="360" w:lineRule="auto"/>
              <w:jc w:val="center"/>
              <w:rPr>
                <w:rFonts w:hint="eastAsia" w:cs="Times New Roman"/>
                <w:kern w:val="2"/>
                <w:sz w:val="21"/>
                <w:szCs w:val="21"/>
                <w14:ligatures w14:val="standardContextual"/>
              </w:rPr>
            </w:pPr>
          </w:p>
        </w:tc>
        <w:tc>
          <w:tcPr>
            <w:tcW w:w="939" w:type="pct"/>
            <w:tcMar>
              <w:top w:w="8" w:type="dxa"/>
              <w:left w:w="8" w:type="dxa"/>
              <w:right w:w="8" w:type="dxa"/>
            </w:tcMar>
            <w:vAlign w:val="center"/>
          </w:tcPr>
          <w:p w14:paraId="20A7F64F">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日志管理</w:t>
            </w:r>
          </w:p>
        </w:tc>
        <w:tc>
          <w:tcPr>
            <w:tcW w:w="2736" w:type="pct"/>
            <w:tcMar>
              <w:top w:w="8" w:type="dxa"/>
              <w:left w:w="8" w:type="dxa"/>
              <w:right w:w="8" w:type="dxa"/>
            </w:tcMar>
            <w:vAlign w:val="center"/>
          </w:tcPr>
          <w:p w14:paraId="6CAD073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系统各检测模块，应具备实时的日志归并功能，可以根据用户需要，按照告警事件的源/目的IP、事件类型等信息，对告警日志执行归并，有效抵御告警风暴。</w:t>
            </w:r>
          </w:p>
        </w:tc>
        <w:tc>
          <w:tcPr>
            <w:tcW w:w="644" w:type="pct"/>
            <w:vAlign w:val="center"/>
          </w:tcPr>
          <w:p w14:paraId="4BC5675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15FF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77" w:type="pct"/>
            <w:vAlign w:val="center"/>
          </w:tcPr>
          <w:p w14:paraId="17E27C55">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4AD0F126">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939" w:type="pct"/>
            <w:tcMar>
              <w:top w:w="8" w:type="dxa"/>
              <w:left w:w="8" w:type="dxa"/>
              <w:right w:w="8" w:type="dxa"/>
            </w:tcMar>
            <w:vAlign w:val="center"/>
          </w:tcPr>
          <w:p w14:paraId="3D872FF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兼容性</w:t>
            </w:r>
          </w:p>
        </w:tc>
        <w:tc>
          <w:tcPr>
            <w:tcW w:w="2736" w:type="pct"/>
            <w:tcMar>
              <w:top w:w="8" w:type="dxa"/>
              <w:left w:w="8" w:type="dxa"/>
              <w:right w:w="8" w:type="dxa"/>
            </w:tcMar>
            <w:vAlign w:val="center"/>
          </w:tcPr>
          <w:p w14:paraId="5686B1C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支持将旧设备配置导出，无需更改直接导入新设备，导入完成后，与旧设备配置数据一致（提供所投产品的制造商出具的承诺函）。</w:t>
            </w:r>
          </w:p>
        </w:tc>
        <w:tc>
          <w:tcPr>
            <w:tcW w:w="644" w:type="pct"/>
            <w:vAlign w:val="center"/>
          </w:tcPr>
          <w:p w14:paraId="4569503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5944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vAlign w:val="center"/>
          </w:tcPr>
          <w:p w14:paraId="3A1E0124">
            <w:pPr>
              <w:widowControl w:val="0"/>
              <w:numPr>
                <w:ilvl w:val="0"/>
                <w:numId w:val="12"/>
              </w:numPr>
              <w:spacing w:line="360" w:lineRule="auto"/>
              <w:contextualSpacing/>
              <w:jc w:val="center"/>
              <w:rPr>
                <w:rFonts w:hint="eastAsia" w:cs="Times New Roman"/>
                <w:kern w:val="2"/>
                <w:sz w:val="21"/>
                <w:szCs w:val="21"/>
                <w14:ligatures w14:val="standardContextual"/>
              </w:rPr>
            </w:pPr>
          </w:p>
        </w:tc>
        <w:tc>
          <w:tcPr>
            <w:tcW w:w="401" w:type="pct"/>
            <w:tcMar>
              <w:top w:w="8" w:type="dxa"/>
              <w:left w:w="8" w:type="dxa"/>
              <w:right w:w="8" w:type="dxa"/>
            </w:tcMar>
            <w:vAlign w:val="center"/>
          </w:tcPr>
          <w:p w14:paraId="1A7209A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939" w:type="pct"/>
            <w:tcMar>
              <w:top w:w="8" w:type="dxa"/>
              <w:left w:w="8" w:type="dxa"/>
              <w:right w:w="8" w:type="dxa"/>
            </w:tcMar>
            <w:vAlign w:val="center"/>
          </w:tcPr>
          <w:p w14:paraId="685C2A6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服务</w:t>
            </w:r>
          </w:p>
        </w:tc>
        <w:tc>
          <w:tcPr>
            <w:tcW w:w="2736" w:type="pct"/>
            <w:tcMar>
              <w:top w:w="8" w:type="dxa"/>
              <w:left w:w="8" w:type="dxa"/>
              <w:right w:w="8" w:type="dxa"/>
            </w:tcMar>
            <w:vAlign w:val="center"/>
          </w:tcPr>
          <w:p w14:paraId="7D0AD64A">
            <w:pPr>
              <w:widowControl w:val="0"/>
              <w:spacing w:line="360" w:lineRule="auto"/>
              <w:rPr>
                <w:rFonts w:hint="eastAsia" w:cs="Times New Roman"/>
                <w:color w:val="EE0000"/>
                <w:kern w:val="2"/>
                <w:sz w:val="21"/>
                <w:szCs w:val="21"/>
                <w14:ligatures w14:val="standardContextual"/>
              </w:rPr>
            </w:pPr>
            <w:r>
              <w:rPr>
                <w:rFonts w:hint="eastAsia" w:cs="Times New Roman"/>
                <w:kern w:val="2"/>
                <w:sz w:val="21"/>
                <w:szCs w:val="21"/>
                <w14:ligatures w14:val="standardContextual"/>
              </w:rPr>
              <w:t>包含三年保修，原厂工程师上门服务。（提供所投产品的制造商出具的授权书）</w:t>
            </w:r>
          </w:p>
        </w:tc>
        <w:tc>
          <w:tcPr>
            <w:tcW w:w="644" w:type="pct"/>
            <w:vAlign w:val="center"/>
          </w:tcPr>
          <w:p w14:paraId="2FC51C8F">
            <w:pPr>
              <w:widowControl w:val="0"/>
              <w:spacing w:line="360" w:lineRule="auto"/>
              <w:jc w:val="center"/>
              <w:rPr>
                <w:rFonts w:hint="eastAsia" w:cs="Times New Roman"/>
                <w:color w:val="EE0000"/>
                <w:kern w:val="2"/>
                <w:sz w:val="21"/>
                <w:szCs w:val="21"/>
                <w14:ligatures w14:val="standardContextual"/>
              </w:rPr>
            </w:pPr>
            <w:r>
              <w:rPr>
                <w:rFonts w:hint="eastAsia" w:cs="Times New Roman"/>
                <w:kern w:val="2"/>
                <w:sz w:val="21"/>
                <w:szCs w:val="21"/>
                <w14:ligatures w14:val="standardContextual"/>
              </w:rPr>
              <w:t>是</w:t>
            </w:r>
          </w:p>
        </w:tc>
      </w:tr>
    </w:tbl>
    <w:p w14:paraId="11E561CE">
      <w:pPr>
        <w:widowControl w:val="0"/>
        <w:spacing w:line="360" w:lineRule="auto"/>
        <w:rPr>
          <w:rFonts w:hint="eastAsia" w:cs="Times New Roman"/>
          <w:kern w:val="2"/>
          <w:sz w:val="21"/>
          <w:szCs w:val="21"/>
          <w14:ligatures w14:val="standardContextual"/>
        </w:rPr>
      </w:pPr>
    </w:p>
    <w:p w14:paraId="3C57F69B">
      <w:pPr>
        <w:keepNext/>
        <w:keepLines/>
        <w:widowControl w:val="0"/>
        <w:numPr>
          <w:ilvl w:val="3"/>
          <w:numId w:val="11"/>
        </w:numPr>
        <w:spacing w:line="360" w:lineRule="auto"/>
        <w:ind w:firstLine="200"/>
        <w:outlineLvl w:val="3"/>
        <w:rPr>
          <w:rFonts w:hint="eastAsia" w:ascii="等线 Light" w:hAnsi="等线 Light" w:cs="Times New Roman"/>
          <w:b/>
          <w:kern w:val="2"/>
          <w:sz w:val="21"/>
          <w:szCs w:val="21"/>
          <w14:ligatures w14:val="standardContextual"/>
        </w:rPr>
      </w:pPr>
      <w:r>
        <w:rPr>
          <w:rFonts w:hint="eastAsia" w:ascii="等线 Light" w:hAnsi="等线 Light" w:cs="Times New Roman"/>
          <w:b/>
          <w:kern w:val="2"/>
          <w:sz w:val="21"/>
          <w:szCs w:val="21"/>
          <w14:ligatures w14:val="standardContextual"/>
        </w:rPr>
        <w:t>运维安全管理系统</w:t>
      </w:r>
      <w:bookmarkStart w:id="1853" w:name="OLE_LINK14"/>
      <w:r>
        <w:rPr>
          <w:rFonts w:hint="eastAsia" w:ascii="等线 Light" w:hAnsi="等线 Light" w:cs="Times New Roman"/>
          <w:b/>
          <w:kern w:val="2"/>
          <w:sz w:val="21"/>
          <w:szCs w:val="21"/>
          <w14:ligatures w14:val="standardContextual"/>
        </w:rPr>
        <w:t>（1台）</w:t>
      </w:r>
      <w:bookmarkEnd w:id="1853"/>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1"/>
        <w:gridCol w:w="708"/>
        <w:gridCol w:w="1560"/>
        <w:gridCol w:w="4536"/>
        <w:gridCol w:w="1071"/>
      </w:tblGrid>
      <w:tr w14:paraId="775C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shd w:val="clear" w:color="auto" w:fill="E7E6E6"/>
            <w:vAlign w:val="center"/>
          </w:tcPr>
          <w:p w14:paraId="43965DB4">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序号</w:t>
            </w:r>
          </w:p>
        </w:tc>
        <w:tc>
          <w:tcPr>
            <w:tcW w:w="708" w:type="dxa"/>
            <w:shd w:val="clear" w:color="auto" w:fill="E7E6E6"/>
            <w:tcMar>
              <w:top w:w="8" w:type="dxa"/>
              <w:left w:w="8" w:type="dxa"/>
              <w:right w:w="8" w:type="dxa"/>
            </w:tcMar>
            <w:vAlign w:val="center"/>
          </w:tcPr>
          <w:p w14:paraId="3F095DA6">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关键指标</w:t>
            </w:r>
          </w:p>
        </w:tc>
        <w:tc>
          <w:tcPr>
            <w:tcW w:w="1560" w:type="dxa"/>
            <w:shd w:val="clear" w:color="auto" w:fill="E7E6E6"/>
            <w:tcMar>
              <w:top w:w="8" w:type="dxa"/>
              <w:left w:w="8" w:type="dxa"/>
              <w:right w:w="8" w:type="dxa"/>
            </w:tcMar>
            <w:vAlign w:val="center"/>
          </w:tcPr>
          <w:p w14:paraId="332641AC">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产品要求</w:t>
            </w:r>
          </w:p>
        </w:tc>
        <w:tc>
          <w:tcPr>
            <w:tcW w:w="4536" w:type="dxa"/>
            <w:shd w:val="clear" w:color="auto" w:fill="E7E6E6"/>
            <w:tcMar>
              <w:top w:w="8" w:type="dxa"/>
              <w:left w:w="8" w:type="dxa"/>
              <w:right w:w="8" w:type="dxa"/>
            </w:tcMar>
            <w:vAlign w:val="center"/>
          </w:tcPr>
          <w:p w14:paraId="76257F3A">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技术参数</w:t>
            </w:r>
          </w:p>
        </w:tc>
        <w:tc>
          <w:tcPr>
            <w:tcW w:w="1071" w:type="dxa"/>
            <w:shd w:val="clear" w:color="auto" w:fill="E7E6E6"/>
            <w:vAlign w:val="center"/>
          </w:tcPr>
          <w:p w14:paraId="4133BB54">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证明材料是否要求</w:t>
            </w:r>
          </w:p>
        </w:tc>
      </w:tr>
      <w:tr w14:paraId="1ECF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2D8082EC">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06112572">
            <w:pPr>
              <w:widowControl w:val="0"/>
              <w:spacing w:line="360" w:lineRule="auto"/>
              <w:jc w:val="center"/>
              <w:rPr>
                <w:rFonts w:hint="eastAsia" w:cs="Times New Roman"/>
                <w:kern w:val="2"/>
                <w:sz w:val="21"/>
                <w:szCs w:val="21"/>
                <w14:ligatures w14:val="standardContextual"/>
              </w:rPr>
            </w:pPr>
          </w:p>
        </w:tc>
        <w:tc>
          <w:tcPr>
            <w:tcW w:w="1560" w:type="dxa"/>
            <w:tcMar>
              <w:top w:w="8" w:type="dxa"/>
              <w:left w:w="8" w:type="dxa"/>
              <w:right w:w="8" w:type="dxa"/>
            </w:tcMar>
            <w:vAlign w:val="center"/>
          </w:tcPr>
          <w:p w14:paraId="0FF58244">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硬件规格</w:t>
            </w:r>
          </w:p>
        </w:tc>
        <w:tc>
          <w:tcPr>
            <w:tcW w:w="4536" w:type="dxa"/>
            <w:tcMar>
              <w:top w:w="8" w:type="dxa"/>
              <w:left w:w="8" w:type="dxa"/>
              <w:right w:w="8" w:type="dxa"/>
            </w:tcMar>
            <w:vAlign w:val="center"/>
          </w:tcPr>
          <w:p w14:paraId="25B27D4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1U标准机架式硬件设备，搭配冗余电源，具有国产化的操作系统和CPU。</w:t>
            </w:r>
          </w:p>
          <w:p w14:paraId="7482466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自主可控CPU的主频≥2.3GHz，核心数≥8核；硬盘容量≥4T；至少包含7个GE电口、4个SFP光口、2个万兆光口及1个接口扩展槽位。</w:t>
            </w:r>
          </w:p>
        </w:tc>
        <w:tc>
          <w:tcPr>
            <w:tcW w:w="1071" w:type="dxa"/>
            <w:vAlign w:val="center"/>
          </w:tcPr>
          <w:p w14:paraId="28EFEE97">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0AFA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7501E95F">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65E91875">
            <w:pPr>
              <w:widowControl w:val="0"/>
              <w:spacing w:line="360" w:lineRule="auto"/>
              <w:jc w:val="center"/>
              <w:rPr>
                <w:rFonts w:hint="eastAsia" w:cs="Times New Roman"/>
                <w:kern w:val="2"/>
                <w:sz w:val="21"/>
                <w:szCs w:val="21"/>
                <w14:ligatures w14:val="standardContextual"/>
              </w:rPr>
            </w:pPr>
            <w:r>
              <w:rPr>
                <w:rFonts w:cs="Times New Roman"/>
                <w:kern w:val="2"/>
                <w:sz w:val="21"/>
                <w:szCs w:val="21"/>
                <w14:ligatures w14:val="standardContextual"/>
              </w:rPr>
              <w:t>★</w:t>
            </w:r>
          </w:p>
        </w:tc>
        <w:tc>
          <w:tcPr>
            <w:tcW w:w="1560" w:type="dxa"/>
            <w:tcMar>
              <w:top w:w="8" w:type="dxa"/>
              <w:left w:w="8" w:type="dxa"/>
              <w:right w:w="8" w:type="dxa"/>
            </w:tcMar>
            <w:vAlign w:val="center"/>
          </w:tcPr>
          <w:p w14:paraId="71F28214">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性能要求</w:t>
            </w:r>
          </w:p>
        </w:tc>
        <w:tc>
          <w:tcPr>
            <w:tcW w:w="4536" w:type="dxa"/>
            <w:tcMar>
              <w:top w:w="8" w:type="dxa"/>
              <w:left w:w="8" w:type="dxa"/>
              <w:right w:w="8" w:type="dxa"/>
            </w:tcMar>
            <w:vAlign w:val="center"/>
          </w:tcPr>
          <w:p w14:paraId="653E550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至少包含500台设备的管理授权，最大字符并发会话数≥1800，最大图形并发会话数≥2000</w:t>
            </w:r>
          </w:p>
        </w:tc>
        <w:tc>
          <w:tcPr>
            <w:tcW w:w="1071" w:type="dxa"/>
            <w:vAlign w:val="center"/>
          </w:tcPr>
          <w:p w14:paraId="1AF8CD93">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40A9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1" w:type="dxa"/>
            <w:vAlign w:val="center"/>
          </w:tcPr>
          <w:p w14:paraId="5B05A162">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5787AD97">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560" w:type="dxa"/>
            <w:vMerge w:val="restart"/>
            <w:tcMar>
              <w:top w:w="8" w:type="dxa"/>
              <w:left w:w="8" w:type="dxa"/>
              <w:right w:w="8" w:type="dxa"/>
            </w:tcMar>
            <w:vAlign w:val="center"/>
          </w:tcPr>
          <w:p w14:paraId="7DDFE76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远程访问</w:t>
            </w:r>
          </w:p>
        </w:tc>
        <w:tc>
          <w:tcPr>
            <w:tcW w:w="4536" w:type="dxa"/>
            <w:tcMar>
              <w:top w:w="8" w:type="dxa"/>
              <w:left w:w="8" w:type="dxa"/>
              <w:right w:w="8" w:type="dxa"/>
            </w:tcMar>
            <w:vAlign w:val="center"/>
          </w:tcPr>
          <w:p w14:paraId="0CFC387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支持基于SDP技术的远程接入，无需额外部署VPN设备。支持服务隐藏功能，开启后，攻击者无法扫描到对应服务端口。（需提供产品界面截图和CNAS认证的第三方权威检测机构出具的检测报告）。</w:t>
            </w:r>
          </w:p>
        </w:tc>
        <w:tc>
          <w:tcPr>
            <w:tcW w:w="1071" w:type="dxa"/>
            <w:vAlign w:val="center"/>
          </w:tcPr>
          <w:p w14:paraId="78C8447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0E7A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1B098A6E">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2830671B">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560" w:type="dxa"/>
            <w:vMerge w:val="continue"/>
            <w:tcMar>
              <w:top w:w="8" w:type="dxa"/>
              <w:left w:w="8" w:type="dxa"/>
              <w:right w:w="8" w:type="dxa"/>
            </w:tcMar>
            <w:vAlign w:val="center"/>
          </w:tcPr>
          <w:p w14:paraId="24760E83">
            <w:pPr>
              <w:widowControl w:val="0"/>
              <w:spacing w:line="360" w:lineRule="auto"/>
              <w:rPr>
                <w:rFonts w:hint="eastAsia" w:cs="Times New Roman"/>
                <w:kern w:val="2"/>
                <w:sz w:val="21"/>
                <w:szCs w:val="21"/>
                <w14:ligatures w14:val="standardContextual"/>
              </w:rPr>
            </w:pPr>
          </w:p>
        </w:tc>
        <w:tc>
          <w:tcPr>
            <w:tcW w:w="4536" w:type="dxa"/>
            <w:tcMar>
              <w:top w:w="8" w:type="dxa"/>
              <w:left w:w="8" w:type="dxa"/>
              <w:right w:w="8" w:type="dxa"/>
            </w:tcMar>
            <w:vAlign w:val="center"/>
          </w:tcPr>
          <w:p w14:paraId="589BC0F0">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支持客户端在开启VPN的情况下，通过SDP技术和该端口建立安全隧道。（需提供产品界面截图和CNAS认证的第三方权威检测机构出具的检测报告）。</w:t>
            </w:r>
          </w:p>
        </w:tc>
        <w:tc>
          <w:tcPr>
            <w:tcW w:w="1071" w:type="dxa"/>
            <w:vAlign w:val="center"/>
          </w:tcPr>
          <w:p w14:paraId="4997EA2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278E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2B3083F7">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0F5EC230">
            <w:pPr>
              <w:widowControl w:val="0"/>
              <w:spacing w:line="360" w:lineRule="auto"/>
              <w:jc w:val="center"/>
              <w:rPr>
                <w:rFonts w:hint="eastAsia" w:cs="Times New Roman"/>
                <w:kern w:val="2"/>
                <w:sz w:val="21"/>
                <w:szCs w:val="21"/>
                <w14:ligatures w14:val="standardContextual"/>
              </w:rPr>
            </w:pPr>
          </w:p>
        </w:tc>
        <w:tc>
          <w:tcPr>
            <w:tcW w:w="1560" w:type="dxa"/>
            <w:tcMar>
              <w:top w:w="8" w:type="dxa"/>
              <w:left w:w="8" w:type="dxa"/>
              <w:right w:w="8" w:type="dxa"/>
            </w:tcMar>
            <w:vAlign w:val="center"/>
          </w:tcPr>
          <w:p w14:paraId="5823FB37">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多级组织管理/分权分域</w:t>
            </w:r>
          </w:p>
        </w:tc>
        <w:tc>
          <w:tcPr>
            <w:tcW w:w="4536" w:type="dxa"/>
            <w:tcMar>
              <w:top w:w="8" w:type="dxa"/>
              <w:left w:w="8" w:type="dxa"/>
              <w:right w:w="8" w:type="dxa"/>
            </w:tcMar>
            <w:vAlign w:val="center"/>
          </w:tcPr>
          <w:p w14:paraId="7376A4F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支持划分多级组织架构（至少10个层级），支持管理员批量导入用户信息，可通过勾选账户进行批量操作如停用/启用、冻结、移除本组织成员。</w:t>
            </w:r>
          </w:p>
        </w:tc>
        <w:tc>
          <w:tcPr>
            <w:tcW w:w="1071" w:type="dxa"/>
            <w:vAlign w:val="center"/>
          </w:tcPr>
          <w:p w14:paraId="06AF82C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7DDF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1E08E562">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3203BF57">
            <w:pPr>
              <w:widowControl w:val="0"/>
              <w:spacing w:line="360" w:lineRule="auto"/>
              <w:jc w:val="center"/>
              <w:rPr>
                <w:rFonts w:hint="eastAsia" w:cs="Times New Roman"/>
                <w:kern w:val="2"/>
                <w:sz w:val="21"/>
                <w:szCs w:val="21"/>
                <w14:ligatures w14:val="standardContextual"/>
              </w:rPr>
            </w:pPr>
          </w:p>
        </w:tc>
        <w:tc>
          <w:tcPr>
            <w:tcW w:w="1560" w:type="dxa"/>
            <w:tcMar>
              <w:top w:w="8" w:type="dxa"/>
              <w:left w:w="8" w:type="dxa"/>
              <w:right w:w="8" w:type="dxa"/>
            </w:tcMar>
            <w:vAlign w:val="center"/>
          </w:tcPr>
          <w:p w14:paraId="597E14F6">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客户端</w:t>
            </w:r>
          </w:p>
        </w:tc>
        <w:tc>
          <w:tcPr>
            <w:tcW w:w="4536" w:type="dxa"/>
            <w:tcMar>
              <w:top w:w="8" w:type="dxa"/>
              <w:left w:w="8" w:type="dxa"/>
              <w:right w:w="8" w:type="dxa"/>
            </w:tcMar>
            <w:vAlign w:val="center"/>
          </w:tcPr>
          <w:p w14:paraId="2F45689F">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堡垒机系统支持BS以及CS模式，支持免费专用客户端。支持在windows、linux、麒麟、统信、MAC等操作系统下部署。支持在客户端上完成日常运维工作。（需提供产品界面截图和CNAS认证的第三方权威检测机构出具的检测报告）</w:t>
            </w:r>
          </w:p>
        </w:tc>
        <w:tc>
          <w:tcPr>
            <w:tcW w:w="1071" w:type="dxa"/>
            <w:vAlign w:val="center"/>
          </w:tcPr>
          <w:p w14:paraId="39BCD4D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4DF9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2787C7E3">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5C080FE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560" w:type="dxa"/>
            <w:vMerge w:val="restart"/>
            <w:tcMar>
              <w:top w:w="8" w:type="dxa"/>
              <w:left w:w="8" w:type="dxa"/>
              <w:right w:w="8" w:type="dxa"/>
            </w:tcMar>
            <w:vAlign w:val="center"/>
          </w:tcPr>
          <w:p w14:paraId="617A0E1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用户认证</w:t>
            </w:r>
          </w:p>
        </w:tc>
        <w:tc>
          <w:tcPr>
            <w:tcW w:w="4536" w:type="dxa"/>
            <w:tcMar>
              <w:top w:w="8" w:type="dxa"/>
              <w:left w:w="8" w:type="dxa"/>
              <w:right w:w="8" w:type="dxa"/>
            </w:tcMar>
            <w:vAlign w:val="center"/>
          </w:tcPr>
          <w:p w14:paraId="75A3255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静态密码身份认证，支持配置静态密码的有效期、最小长度要求、到期提醒、密码强度限制，弱密码字典。支持通过电子邮件、短信方式找回密码。（需提供产品界面截图和CNAS认证的第三方权威检测机构出具的检测报告）</w:t>
            </w:r>
          </w:p>
        </w:tc>
        <w:tc>
          <w:tcPr>
            <w:tcW w:w="1071" w:type="dxa"/>
            <w:vAlign w:val="center"/>
          </w:tcPr>
          <w:p w14:paraId="487A2397">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4D88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3CD44A28">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214871C7">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560" w:type="dxa"/>
            <w:vMerge w:val="continue"/>
            <w:tcMar>
              <w:top w:w="8" w:type="dxa"/>
              <w:left w:w="8" w:type="dxa"/>
              <w:right w:w="8" w:type="dxa"/>
            </w:tcMar>
            <w:vAlign w:val="center"/>
          </w:tcPr>
          <w:p w14:paraId="00B5AE4F">
            <w:pPr>
              <w:widowControl w:val="0"/>
              <w:spacing w:line="360" w:lineRule="auto"/>
              <w:rPr>
                <w:rFonts w:hint="eastAsia" w:cs="Times New Roman"/>
                <w:kern w:val="2"/>
                <w:sz w:val="21"/>
                <w:szCs w:val="21"/>
                <w14:ligatures w14:val="standardContextual"/>
              </w:rPr>
            </w:pPr>
          </w:p>
        </w:tc>
        <w:tc>
          <w:tcPr>
            <w:tcW w:w="4536" w:type="dxa"/>
            <w:tcMar>
              <w:top w:w="8" w:type="dxa"/>
              <w:left w:w="8" w:type="dxa"/>
              <w:right w:w="8" w:type="dxa"/>
            </w:tcMar>
            <w:vAlign w:val="center"/>
          </w:tcPr>
          <w:p w14:paraId="593AF8F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提供静态PIN+动态OTP口令认证方式，并支持配置PIN码的有效期、到期提醒、PIN码强度及弱PIN码字典。支持通过电子邮件、短信方式找回密码。（需提供产品界面截图和CNAS认证的第三方权威检测机构出具的检测报告）</w:t>
            </w:r>
          </w:p>
        </w:tc>
        <w:tc>
          <w:tcPr>
            <w:tcW w:w="1071" w:type="dxa"/>
            <w:vAlign w:val="center"/>
          </w:tcPr>
          <w:p w14:paraId="7E40471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0FFB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67DE3CAC">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31A0769B">
            <w:pPr>
              <w:widowControl w:val="0"/>
              <w:spacing w:line="360" w:lineRule="auto"/>
              <w:jc w:val="center"/>
              <w:rPr>
                <w:rFonts w:hint="eastAsia" w:cs="Times New Roman"/>
                <w:kern w:val="2"/>
                <w:sz w:val="21"/>
                <w:szCs w:val="21"/>
                <w14:ligatures w14:val="standardContextual"/>
              </w:rPr>
            </w:pPr>
          </w:p>
        </w:tc>
        <w:tc>
          <w:tcPr>
            <w:tcW w:w="1560" w:type="dxa"/>
            <w:tcMar>
              <w:top w:w="8" w:type="dxa"/>
              <w:left w:w="8" w:type="dxa"/>
              <w:right w:w="8" w:type="dxa"/>
            </w:tcMar>
            <w:vAlign w:val="center"/>
          </w:tcPr>
          <w:p w14:paraId="38C1FA5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资产管理</w:t>
            </w:r>
          </w:p>
        </w:tc>
        <w:tc>
          <w:tcPr>
            <w:tcW w:w="4536" w:type="dxa"/>
            <w:tcMar>
              <w:top w:w="8" w:type="dxa"/>
              <w:left w:w="8" w:type="dxa"/>
              <w:right w:w="8" w:type="dxa"/>
            </w:tcMar>
            <w:vAlign w:val="center"/>
          </w:tcPr>
          <w:p w14:paraId="25A5F21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支持资产托管账号密码检查，配置包含但不限于：密码强度检查规格（大小写字母，数字，特殊字符），最小长度（默认为8），是否启用弱密码库检查，弱密码字典等，检查后可通过列表展示。</w:t>
            </w:r>
          </w:p>
        </w:tc>
        <w:tc>
          <w:tcPr>
            <w:tcW w:w="1071" w:type="dxa"/>
            <w:vAlign w:val="center"/>
          </w:tcPr>
          <w:p w14:paraId="42E7482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1F15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7BEBB958">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5648EF45">
            <w:pPr>
              <w:widowControl w:val="0"/>
              <w:spacing w:line="360" w:lineRule="auto"/>
              <w:jc w:val="center"/>
              <w:rPr>
                <w:rFonts w:hint="eastAsia" w:cs="Times New Roman"/>
                <w:kern w:val="2"/>
                <w:sz w:val="21"/>
                <w:szCs w:val="21"/>
                <w14:ligatures w14:val="standardContextual"/>
              </w:rPr>
            </w:pPr>
          </w:p>
        </w:tc>
        <w:tc>
          <w:tcPr>
            <w:tcW w:w="1560" w:type="dxa"/>
            <w:vMerge w:val="restart"/>
            <w:tcMar>
              <w:top w:w="8" w:type="dxa"/>
              <w:left w:w="8" w:type="dxa"/>
              <w:right w:w="8" w:type="dxa"/>
            </w:tcMar>
            <w:vAlign w:val="center"/>
          </w:tcPr>
          <w:p w14:paraId="6F8D8B4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资产运维</w:t>
            </w:r>
          </w:p>
        </w:tc>
        <w:tc>
          <w:tcPr>
            <w:tcW w:w="4536" w:type="dxa"/>
            <w:tcMar>
              <w:top w:w="8" w:type="dxa"/>
              <w:left w:w="8" w:type="dxa"/>
              <w:right w:w="8" w:type="dxa"/>
            </w:tcMar>
            <w:vAlign w:val="center"/>
          </w:tcPr>
          <w:p w14:paraId="7F461D80">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支持通过堡垒机直接代理HTTP/HTTPS协议，无需前置机。</w:t>
            </w:r>
          </w:p>
        </w:tc>
        <w:tc>
          <w:tcPr>
            <w:tcW w:w="1071" w:type="dxa"/>
            <w:vAlign w:val="center"/>
          </w:tcPr>
          <w:p w14:paraId="0E33F8C3">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7AEE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1" w:type="dxa"/>
            <w:vAlign w:val="center"/>
          </w:tcPr>
          <w:p w14:paraId="673E5FC0">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1EDFE3EE">
            <w:pPr>
              <w:widowControl w:val="0"/>
              <w:spacing w:line="360" w:lineRule="auto"/>
              <w:jc w:val="center"/>
              <w:rPr>
                <w:rFonts w:hint="eastAsia" w:cs="Times New Roman"/>
                <w:kern w:val="2"/>
                <w:sz w:val="21"/>
                <w:szCs w:val="21"/>
                <w14:ligatures w14:val="standardContextual"/>
              </w:rPr>
            </w:pPr>
          </w:p>
        </w:tc>
        <w:tc>
          <w:tcPr>
            <w:tcW w:w="1560" w:type="dxa"/>
            <w:vMerge w:val="continue"/>
            <w:tcMar>
              <w:top w:w="8" w:type="dxa"/>
              <w:left w:w="8" w:type="dxa"/>
              <w:right w:w="8" w:type="dxa"/>
            </w:tcMar>
            <w:vAlign w:val="center"/>
          </w:tcPr>
          <w:p w14:paraId="37614324">
            <w:pPr>
              <w:widowControl w:val="0"/>
              <w:spacing w:line="360" w:lineRule="auto"/>
              <w:rPr>
                <w:rFonts w:hint="eastAsia" w:cs="Times New Roman"/>
                <w:kern w:val="2"/>
                <w:sz w:val="21"/>
                <w:szCs w:val="21"/>
                <w14:ligatures w14:val="standardContextual"/>
              </w:rPr>
            </w:pPr>
          </w:p>
        </w:tc>
        <w:tc>
          <w:tcPr>
            <w:tcW w:w="4536" w:type="dxa"/>
            <w:tcMar>
              <w:top w:w="8" w:type="dxa"/>
              <w:left w:w="8" w:type="dxa"/>
              <w:right w:w="8" w:type="dxa"/>
            </w:tcMar>
            <w:vAlign w:val="center"/>
          </w:tcPr>
          <w:p w14:paraId="4FBED28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支持Oracle、MSSQL、MySQL、PostgresSQL、SQL Server、Informix、达梦、人大金仓、南大通用、高斯等数据库协议代理，支持调用本地工具运维，保留运维习惯。</w:t>
            </w:r>
          </w:p>
        </w:tc>
        <w:tc>
          <w:tcPr>
            <w:tcW w:w="1071" w:type="dxa"/>
            <w:vAlign w:val="center"/>
          </w:tcPr>
          <w:p w14:paraId="1542D5C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481F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0BB3CA35">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53E17E9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560" w:type="dxa"/>
            <w:tcMar>
              <w:top w:w="8" w:type="dxa"/>
              <w:left w:w="8" w:type="dxa"/>
              <w:right w:w="8" w:type="dxa"/>
            </w:tcMar>
            <w:vAlign w:val="center"/>
          </w:tcPr>
          <w:p w14:paraId="0500D377">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终端安全基线检查</w:t>
            </w:r>
          </w:p>
        </w:tc>
        <w:tc>
          <w:tcPr>
            <w:tcW w:w="4536" w:type="dxa"/>
            <w:tcMar>
              <w:top w:w="8" w:type="dxa"/>
              <w:left w:w="8" w:type="dxa"/>
              <w:right w:w="8" w:type="dxa"/>
            </w:tcMar>
            <w:vAlign w:val="center"/>
          </w:tcPr>
          <w:p w14:paraId="639BEB9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终端合规检查策略，包含针对Windows补丁检测、操作系统版本检测、端口检测、进程检测和安装应用检测。支持可由管理员自定义配置合规策略，自定义范围包括但不限于检查项、告警等级、执行操作等。（需提供产品界面截图和CNAS认证的第三方权威检测机构出具的检测报告）</w:t>
            </w:r>
          </w:p>
        </w:tc>
        <w:tc>
          <w:tcPr>
            <w:tcW w:w="1071" w:type="dxa"/>
            <w:vAlign w:val="center"/>
          </w:tcPr>
          <w:p w14:paraId="579DEC9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4E4C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024FD82F">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315FABE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560" w:type="dxa"/>
            <w:tcMar>
              <w:top w:w="8" w:type="dxa"/>
              <w:left w:w="8" w:type="dxa"/>
              <w:right w:w="8" w:type="dxa"/>
            </w:tcMar>
            <w:vAlign w:val="center"/>
          </w:tcPr>
          <w:p w14:paraId="28A59B3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账号安全基线检查</w:t>
            </w:r>
          </w:p>
        </w:tc>
        <w:tc>
          <w:tcPr>
            <w:tcW w:w="4536" w:type="dxa"/>
            <w:tcMar>
              <w:top w:w="8" w:type="dxa"/>
              <w:left w:w="8" w:type="dxa"/>
              <w:right w:w="8" w:type="dxa"/>
            </w:tcMar>
            <w:vAlign w:val="center"/>
          </w:tcPr>
          <w:p w14:paraId="0A4D6DFD">
            <w:pPr>
              <w:widowControl w:val="0"/>
              <w:spacing w:line="360" w:lineRule="auto"/>
              <w:rPr>
                <w:rFonts w:hint="eastAsia" w:cs="Times New Roman"/>
                <w:kern w:val="2"/>
                <w:sz w:val="21"/>
                <w:szCs w:val="21"/>
                <w14:ligatures w14:val="standardContextual"/>
              </w:rPr>
            </w:pPr>
            <w:bookmarkStart w:id="1854" w:name="OLE_LINK84"/>
            <w:r>
              <w:rPr>
                <w:rFonts w:hint="eastAsia" w:cs="Times New Roman"/>
                <w:kern w:val="2"/>
                <w:sz w:val="21"/>
                <w:szCs w:val="21"/>
                <w14:ligatures w14:val="standardContextual"/>
              </w:rPr>
              <w:t>支持账户安全策略</w:t>
            </w:r>
            <w:bookmarkEnd w:id="1854"/>
            <w:r>
              <w:rPr>
                <w:rFonts w:hint="eastAsia" w:cs="Times New Roman"/>
                <w:kern w:val="2"/>
                <w:sz w:val="21"/>
                <w:szCs w:val="21"/>
                <w14:ligatures w14:val="standardContextual"/>
              </w:rPr>
              <w:t>，可以对爆破登录、弱密码认证、僵尸账号认证、不合规终端认证、非常用时间使用、非常用终端认证、非常用地理位置认证、非常用网络认证进行识别并采取相关的处置措施，处置措施包括仅告警、警告、增强认证、禁止认证。（需提供产品界面截图和CNAS认证的第三方权威检测机构出具的检测报告）</w:t>
            </w:r>
          </w:p>
        </w:tc>
        <w:tc>
          <w:tcPr>
            <w:tcW w:w="1071" w:type="dxa"/>
            <w:vAlign w:val="center"/>
          </w:tcPr>
          <w:p w14:paraId="254F250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2568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10CD84DB">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721367C6">
            <w:pPr>
              <w:widowControl w:val="0"/>
              <w:spacing w:line="360" w:lineRule="auto"/>
              <w:jc w:val="center"/>
              <w:rPr>
                <w:rFonts w:hint="eastAsia" w:cs="Times New Roman"/>
                <w:kern w:val="2"/>
                <w:sz w:val="21"/>
                <w:szCs w:val="21"/>
                <w14:ligatures w14:val="standardContextual"/>
              </w:rPr>
            </w:pPr>
          </w:p>
        </w:tc>
        <w:tc>
          <w:tcPr>
            <w:tcW w:w="1560" w:type="dxa"/>
            <w:tcMar>
              <w:top w:w="8" w:type="dxa"/>
              <w:left w:w="8" w:type="dxa"/>
              <w:right w:w="8" w:type="dxa"/>
            </w:tcMar>
            <w:vAlign w:val="center"/>
          </w:tcPr>
          <w:p w14:paraId="1B7D2649">
            <w:pPr>
              <w:widowControl w:val="0"/>
              <w:spacing w:line="360" w:lineRule="auto"/>
              <w:rPr>
                <w:rFonts w:hint="eastAsia" w:cs="Times New Roman"/>
                <w:kern w:val="2"/>
                <w:sz w:val="21"/>
                <w:szCs w:val="21"/>
                <w14:ligatures w14:val="standardContextual"/>
              </w:rPr>
            </w:pPr>
            <w:r>
              <w:rPr>
                <w:rFonts w:hint="eastAsia"/>
              </w:rPr>
              <w:t>产品资质</w:t>
            </w:r>
          </w:p>
        </w:tc>
        <w:tc>
          <w:tcPr>
            <w:tcW w:w="4536" w:type="dxa"/>
            <w:tcMar>
              <w:top w:w="8" w:type="dxa"/>
              <w:left w:w="8" w:type="dxa"/>
              <w:right w:w="8" w:type="dxa"/>
            </w:tcMar>
            <w:vAlign w:val="center"/>
          </w:tcPr>
          <w:p w14:paraId="26460D13">
            <w:pPr>
              <w:widowControl w:val="0"/>
              <w:spacing w:line="360" w:lineRule="auto"/>
              <w:rPr>
                <w:rFonts w:hint="eastAsia" w:cs="Times New Roman"/>
                <w:kern w:val="2"/>
                <w:sz w:val="21"/>
                <w:szCs w:val="21"/>
                <w14:ligatures w14:val="standardContextual"/>
              </w:rPr>
            </w:pPr>
            <w:bookmarkStart w:id="1855" w:name="OLE_LINK68"/>
            <w:r>
              <w:rPr>
                <w:rFonts w:hint="eastAsia" w:cs="Times New Roman"/>
                <w:kern w:val="2"/>
                <w:sz w:val="21"/>
                <w:szCs w:val="21"/>
                <w14:ligatures w14:val="standardContextual"/>
              </w:rPr>
              <w:t>产品应具备由中国网络安全审查技术与认证中心颁发的网络关键设备和网络安全专用产品安全认证证书，需提供截图证明。</w:t>
            </w:r>
          </w:p>
          <w:bookmarkEnd w:id="1855"/>
          <w:p w14:paraId="1D3B983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产品应具备IPv6 Ready Logo认证证书，需提供截图证明。</w:t>
            </w:r>
          </w:p>
        </w:tc>
        <w:tc>
          <w:tcPr>
            <w:tcW w:w="1071" w:type="dxa"/>
            <w:vAlign w:val="center"/>
          </w:tcPr>
          <w:p w14:paraId="1694236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042D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02A54237">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60B6ACD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560" w:type="dxa"/>
            <w:tcMar>
              <w:top w:w="8" w:type="dxa"/>
              <w:left w:w="8" w:type="dxa"/>
              <w:right w:w="8" w:type="dxa"/>
            </w:tcMar>
            <w:vAlign w:val="center"/>
          </w:tcPr>
          <w:p w14:paraId="1DB085E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兼容性</w:t>
            </w:r>
          </w:p>
        </w:tc>
        <w:tc>
          <w:tcPr>
            <w:tcW w:w="4536" w:type="dxa"/>
            <w:tcMar>
              <w:top w:w="8" w:type="dxa"/>
              <w:left w:w="8" w:type="dxa"/>
              <w:right w:w="8" w:type="dxa"/>
            </w:tcMar>
            <w:vAlign w:val="center"/>
          </w:tcPr>
          <w:p w14:paraId="5125049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支持导入旧设备全部配置，导入过程中配置数据不发生损坏、篡改。导入完成后，与旧设备配置数据一致（提供所投产品的制造商出具的承诺函）。</w:t>
            </w:r>
          </w:p>
        </w:tc>
        <w:tc>
          <w:tcPr>
            <w:tcW w:w="1071" w:type="dxa"/>
            <w:vAlign w:val="center"/>
          </w:tcPr>
          <w:p w14:paraId="5B42257B">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5E0A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1" w:type="dxa"/>
            <w:vAlign w:val="center"/>
          </w:tcPr>
          <w:p w14:paraId="0FDD8755">
            <w:pPr>
              <w:widowControl w:val="0"/>
              <w:numPr>
                <w:ilvl w:val="0"/>
                <w:numId w:val="13"/>
              </w:numPr>
              <w:spacing w:line="360" w:lineRule="auto"/>
              <w:contextualSpacing/>
              <w:jc w:val="center"/>
              <w:rPr>
                <w:rFonts w:hint="eastAsia" w:cs="Times New Roman"/>
                <w:kern w:val="2"/>
                <w:sz w:val="21"/>
                <w:szCs w:val="21"/>
                <w14:ligatures w14:val="standardContextual"/>
              </w:rPr>
            </w:pPr>
          </w:p>
        </w:tc>
        <w:tc>
          <w:tcPr>
            <w:tcW w:w="708" w:type="dxa"/>
            <w:tcMar>
              <w:top w:w="8" w:type="dxa"/>
              <w:left w:w="8" w:type="dxa"/>
              <w:right w:w="8" w:type="dxa"/>
            </w:tcMar>
            <w:vAlign w:val="center"/>
          </w:tcPr>
          <w:p w14:paraId="4425274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560" w:type="dxa"/>
            <w:tcMar>
              <w:top w:w="8" w:type="dxa"/>
              <w:left w:w="8" w:type="dxa"/>
              <w:right w:w="8" w:type="dxa"/>
            </w:tcMar>
            <w:vAlign w:val="center"/>
          </w:tcPr>
          <w:p w14:paraId="4BD6B6B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服务</w:t>
            </w:r>
          </w:p>
        </w:tc>
        <w:tc>
          <w:tcPr>
            <w:tcW w:w="4536" w:type="dxa"/>
            <w:tcMar>
              <w:top w:w="8" w:type="dxa"/>
              <w:left w:w="8" w:type="dxa"/>
              <w:right w:w="8" w:type="dxa"/>
            </w:tcMar>
            <w:vAlign w:val="center"/>
          </w:tcPr>
          <w:p w14:paraId="75857389">
            <w:pPr>
              <w:widowControl w:val="0"/>
              <w:spacing w:line="360" w:lineRule="auto"/>
              <w:rPr>
                <w:rFonts w:hint="eastAsia" w:cs="Times New Roman"/>
                <w:color w:val="EE0000"/>
                <w:kern w:val="2"/>
                <w:sz w:val="21"/>
                <w:szCs w:val="21"/>
                <w14:ligatures w14:val="standardContextual"/>
              </w:rPr>
            </w:pPr>
            <w:r>
              <w:rPr>
                <w:rFonts w:hint="eastAsia" w:cs="Times New Roman"/>
                <w:kern w:val="2"/>
                <w:sz w:val="21"/>
                <w:szCs w:val="21"/>
                <w14:ligatures w14:val="standardContextual"/>
              </w:rPr>
              <w:t>包含三年保修，原厂工程师上门服务。（提供所投产品的制造商出具的授权书）</w:t>
            </w:r>
          </w:p>
        </w:tc>
        <w:tc>
          <w:tcPr>
            <w:tcW w:w="1071" w:type="dxa"/>
            <w:vAlign w:val="center"/>
          </w:tcPr>
          <w:p w14:paraId="6CC810D1">
            <w:pPr>
              <w:widowControl w:val="0"/>
              <w:spacing w:line="360" w:lineRule="auto"/>
              <w:jc w:val="center"/>
              <w:rPr>
                <w:rFonts w:hint="eastAsia" w:cs="Times New Roman"/>
                <w:color w:val="EE0000"/>
                <w:kern w:val="2"/>
                <w:sz w:val="21"/>
                <w:szCs w:val="21"/>
                <w14:ligatures w14:val="standardContextual"/>
              </w:rPr>
            </w:pPr>
            <w:r>
              <w:rPr>
                <w:rFonts w:hint="eastAsia" w:cs="Times New Roman"/>
                <w:kern w:val="2"/>
                <w:sz w:val="21"/>
                <w:szCs w:val="21"/>
                <w14:ligatures w14:val="standardContextual"/>
              </w:rPr>
              <w:t>是</w:t>
            </w:r>
          </w:p>
        </w:tc>
      </w:tr>
    </w:tbl>
    <w:p w14:paraId="72722422">
      <w:pPr>
        <w:widowControl w:val="0"/>
        <w:spacing w:line="360" w:lineRule="auto"/>
        <w:rPr>
          <w:rFonts w:hint="eastAsia" w:ascii="等线" w:hAnsi="等线" w:cs="Times New Roman"/>
          <w:kern w:val="2"/>
          <w:sz w:val="21"/>
          <w:szCs w:val="21"/>
          <w14:ligatures w14:val="standardContextual"/>
        </w:rPr>
      </w:pPr>
    </w:p>
    <w:p w14:paraId="31D840DB">
      <w:pPr>
        <w:keepNext/>
        <w:keepLines/>
        <w:widowControl w:val="0"/>
        <w:numPr>
          <w:ilvl w:val="3"/>
          <w:numId w:val="11"/>
        </w:numPr>
        <w:spacing w:line="360" w:lineRule="auto"/>
        <w:ind w:firstLine="200"/>
        <w:outlineLvl w:val="3"/>
        <w:rPr>
          <w:rFonts w:hint="eastAsia" w:ascii="等线 Light" w:hAnsi="等线 Light" w:cs="Times New Roman"/>
          <w:b/>
          <w:kern w:val="2"/>
          <w:sz w:val="21"/>
          <w:szCs w:val="21"/>
          <w14:ligatures w14:val="standardContextual"/>
        </w:rPr>
      </w:pPr>
      <w:r>
        <w:rPr>
          <w:rFonts w:hint="eastAsia" w:ascii="等线 Light" w:hAnsi="等线 Light" w:cs="Times New Roman"/>
          <w:b/>
          <w:kern w:val="2"/>
          <w:sz w:val="21"/>
          <w:szCs w:val="21"/>
          <w14:ligatures w14:val="standardContextual"/>
        </w:rPr>
        <w:t>网络安全漏洞扫描系统（1台）</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4"/>
        <w:gridCol w:w="727"/>
        <w:gridCol w:w="1418"/>
        <w:gridCol w:w="4394"/>
        <w:gridCol w:w="1213"/>
      </w:tblGrid>
      <w:tr w14:paraId="4FE5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44" w:type="dxa"/>
            <w:shd w:val="clear" w:color="auto" w:fill="E7E6E6"/>
            <w:vAlign w:val="center"/>
          </w:tcPr>
          <w:p w14:paraId="5F7A21CE">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序号</w:t>
            </w:r>
          </w:p>
        </w:tc>
        <w:tc>
          <w:tcPr>
            <w:tcW w:w="727" w:type="dxa"/>
            <w:shd w:val="clear" w:color="auto" w:fill="E7E6E6"/>
            <w:tcMar>
              <w:top w:w="8" w:type="dxa"/>
              <w:left w:w="8" w:type="dxa"/>
              <w:right w:w="8" w:type="dxa"/>
            </w:tcMar>
            <w:vAlign w:val="center"/>
          </w:tcPr>
          <w:p w14:paraId="74CB621E">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关键指标</w:t>
            </w:r>
          </w:p>
        </w:tc>
        <w:tc>
          <w:tcPr>
            <w:tcW w:w="1418" w:type="dxa"/>
            <w:shd w:val="clear" w:color="auto" w:fill="E7E6E6"/>
            <w:tcMar>
              <w:top w:w="8" w:type="dxa"/>
              <w:left w:w="8" w:type="dxa"/>
              <w:right w:w="8" w:type="dxa"/>
            </w:tcMar>
            <w:vAlign w:val="center"/>
          </w:tcPr>
          <w:p w14:paraId="5D1CC2F9">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产品要求</w:t>
            </w:r>
          </w:p>
        </w:tc>
        <w:tc>
          <w:tcPr>
            <w:tcW w:w="4394" w:type="dxa"/>
            <w:shd w:val="clear" w:color="auto" w:fill="E7E6E6"/>
            <w:tcMar>
              <w:top w:w="8" w:type="dxa"/>
              <w:left w:w="8" w:type="dxa"/>
              <w:right w:w="8" w:type="dxa"/>
            </w:tcMar>
            <w:vAlign w:val="center"/>
          </w:tcPr>
          <w:p w14:paraId="1B5A98C1">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技术参数</w:t>
            </w:r>
          </w:p>
        </w:tc>
        <w:tc>
          <w:tcPr>
            <w:tcW w:w="1213" w:type="dxa"/>
            <w:shd w:val="clear" w:color="auto" w:fill="E7E6E6"/>
            <w:vAlign w:val="center"/>
          </w:tcPr>
          <w:p w14:paraId="11C7CBD0">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证明材料是否要求</w:t>
            </w:r>
          </w:p>
        </w:tc>
      </w:tr>
      <w:tr w14:paraId="2AB3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44" w:type="dxa"/>
            <w:vAlign w:val="center"/>
          </w:tcPr>
          <w:p w14:paraId="5971716D">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6B783A8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418" w:type="dxa"/>
            <w:tcMar>
              <w:top w:w="8" w:type="dxa"/>
              <w:left w:w="8" w:type="dxa"/>
              <w:right w:w="8" w:type="dxa"/>
            </w:tcMar>
            <w:vAlign w:val="center"/>
          </w:tcPr>
          <w:p w14:paraId="7E8474D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硬件规格</w:t>
            </w:r>
          </w:p>
        </w:tc>
        <w:tc>
          <w:tcPr>
            <w:tcW w:w="4394" w:type="dxa"/>
            <w:tcMar>
              <w:top w:w="8" w:type="dxa"/>
              <w:left w:w="8" w:type="dxa"/>
              <w:right w:w="8" w:type="dxa"/>
            </w:tcMar>
            <w:vAlign w:val="center"/>
          </w:tcPr>
          <w:p w14:paraId="3A434FE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1U标准机架式硬件设备，搭配交流冗余电源，具有国产化的操作系统和CPU。</w:t>
            </w:r>
          </w:p>
          <w:p w14:paraId="6581248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自主可控CPU的主频≥2.3GHz，核心数≥8核；硬盘容量≥4T；至少包含6*GE电口、4*SFP光口，2个接口扩展槽位；</w:t>
            </w:r>
          </w:p>
        </w:tc>
        <w:tc>
          <w:tcPr>
            <w:tcW w:w="1213" w:type="dxa"/>
            <w:vAlign w:val="center"/>
          </w:tcPr>
          <w:p w14:paraId="3ADF5DE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04EE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6671ACC9">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0C1D34CB">
            <w:pPr>
              <w:widowControl w:val="0"/>
              <w:spacing w:line="360" w:lineRule="auto"/>
              <w:jc w:val="center"/>
              <w:rPr>
                <w:rFonts w:hint="eastAsia" w:cs="Times New Roman"/>
                <w:kern w:val="2"/>
                <w:sz w:val="21"/>
                <w:szCs w:val="21"/>
                <w14:ligatures w14:val="standardContextual"/>
              </w:rPr>
            </w:pPr>
            <w:r>
              <w:rPr>
                <w:rFonts w:cs="Times New Roman"/>
                <w:kern w:val="2"/>
                <w:sz w:val="21"/>
                <w:szCs w:val="21"/>
                <w14:ligatures w14:val="standardContextual"/>
              </w:rPr>
              <w:t>★</w:t>
            </w:r>
          </w:p>
        </w:tc>
        <w:tc>
          <w:tcPr>
            <w:tcW w:w="1418" w:type="dxa"/>
            <w:tcMar>
              <w:top w:w="8" w:type="dxa"/>
              <w:left w:w="8" w:type="dxa"/>
              <w:right w:w="8" w:type="dxa"/>
            </w:tcMar>
            <w:vAlign w:val="center"/>
          </w:tcPr>
          <w:p w14:paraId="00F42FA7">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性能要求</w:t>
            </w:r>
          </w:p>
        </w:tc>
        <w:tc>
          <w:tcPr>
            <w:tcW w:w="4394" w:type="dxa"/>
            <w:tcMar>
              <w:top w:w="8" w:type="dxa"/>
              <w:left w:w="8" w:type="dxa"/>
              <w:right w:w="8" w:type="dxa"/>
            </w:tcMar>
            <w:vAlign w:val="center"/>
          </w:tcPr>
          <w:p w14:paraId="3075ED8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支持无限IP授权扫描</w:t>
            </w:r>
          </w:p>
        </w:tc>
        <w:tc>
          <w:tcPr>
            <w:tcW w:w="1213" w:type="dxa"/>
            <w:vAlign w:val="center"/>
          </w:tcPr>
          <w:p w14:paraId="6752986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5D91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35FAD75F">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33B27746">
            <w:pPr>
              <w:widowControl w:val="0"/>
              <w:spacing w:line="360" w:lineRule="auto"/>
              <w:jc w:val="center"/>
              <w:rPr>
                <w:rFonts w:hint="eastAsia" w:cs="Times New Roman"/>
                <w:kern w:val="2"/>
                <w:sz w:val="21"/>
                <w:szCs w:val="21"/>
                <w14:ligatures w14:val="standardContextual"/>
              </w:rPr>
            </w:pPr>
            <w:r>
              <w:rPr>
                <w:rFonts w:cs="Times New Roman"/>
                <w:kern w:val="2"/>
                <w:sz w:val="21"/>
                <w:szCs w:val="21"/>
                <w14:ligatures w14:val="standardContextual"/>
              </w:rPr>
              <w:t>★</w:t>
            </w:r>
          </w:p>
        </w:tc>
        <w:tc>
          <w:tcPr>
            <w:tcW w:w="1418" w:type="dxa"/>
            <w:tcMar>
              <w:top w:w="8" w:type="dxa"/>
              <w:left w:w="8" w:type="dxa"/>
              <w:right w:w="8" w:type="dxa"/>
            </w:tcMar>
            <w:vAlign w:val="center"/>
          </w:tcPr>
          <w:p w14:paraId="2AD14CE9">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功能模块</w:t>
            </w:r>
          </w:p>
        </w:tc>
        <w:tc>
          <w:tcPr>
            <w:tcW w:w="4394" w:type="dxa"/>
            <w:tcMar>
              <w:top w:w="8" w:type="dxa"/>
              <w:left w:w="8" w:type="dxa"/>
              <w:right w:w="8" w:type="dxa"/>
            </w:tcMar>
            <w:vAlign w:val="center"/>
          </w:tcPr>
          <w:p w14:paraId="4A7B141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系统应包含Web应用扫描、配置核查等功能模块。</w:t>
            </w:r>
          </w:p>
        </w:tc>
        <w:tc>
          <w:tcPr>
            <w:tcW w:w="1213" w:type="dxa"/>
            <w:vAlign w:val="center"/>
          </w:tcPr>
          <w:p w14:paraId="548A2843">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5928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1A3CC985">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63C32553">
            <w:pPr>
              <w:widowControl w:val="0"/>
              <w:spacing w:line="360" w:lineRule="auto"/>
              <w:jc w:val="center"/>
              <w:rPr>
                <w:rFonts w:hint="eastAsia" w:cs="Times New Roman"/>
                <w:kern w:val="2"/>
                <w:sz w:val="21"/>
                <w:szCs w:val="21"/>
                <w14:ligatures w14:val="standardContextual"/>
              </w:rPr>
            </w:pPr>
          </w:p>
        </w:tc>
        <w:tc>
          <w:tcPr>
            <w:tcW w:w="1418" w:type="dxa"/>
            <w:vMerge w:val="restart"/>
            <w:tcMar>
              <w:top w:w="8" w:type="dxa"/>
              <w:left w:w="8" w:type="dxa"/>
              <w:right w:w="8" w:type="dxa"/>
            </w:tcMar>
            <w:vAlign w:val="center"/>
          </w:tcPr>
          <w:p w14:paraId="07B197F5">
            <w:pPr>
              <w:widowControl w:val="0"/>
              <w:spacing w:line="360" w:lineRule="auto"/>
              <w:rPr>
                <w:rFonts w:hint="eastAsia" w:cs="Times New Roman"/>
                <w:kern w:val="2"/>
                <w:sz w:val="21"/>
                <w:szCs w:val="21"/>
                <w14:ligatures w14:val="standardContextual"/>
              </w:rPr>
            </w:pPr>
          </w:p>
        </w:tc>
        <w:tc>
          <w:tcPr>
            <w:tcW w:w="4394" w:type="dxa"/>
            <w:tcMar>
              <w:top w:w="8" w:type="dxa"/>
              <w:left w:w="8" w:type="dxa"/>
              <w:right w:w="8" w:type="dxa"/>
            </w:tcMar>
            <w:vAlign w:val="center"/>
          </w:tcPr>
          <w:p w14:paraId="0F40181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支持系统漏洞库和Web漏洞库通过多种维度对漏洞进行检索，包括：漏洞名称、漏洞ID，CVE ID、BUGTRAQ ID、CNCVE ID、CNVD ID、CNNVD ID、MS 编号、风险等级、是否使用危险插件、是否支持漏洞验证，漏洞发布日期、漏洞分类信息。</w:t>
            </w:r>
          </w:p>
        </w:tc>
        <w:tc>
          <w:tcPr>
            <w:tcW w:w="1213" w:type="dxa"/>
            <w:vAlign w:val="center"/>
          </w:tcPr>
          <w:p w14:paraId="225137C6">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0735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51261630">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07FCD30E">
            <w:pPr>
              <w:widowControl w:val="0"/>
              <w:spacing w:line="360" w:lineRule="auto"/>
              <w:jc w:val="center"/>
              <w:rPr>
                <w:rFonts w:hint="eastAsia" w:cs="Times New Roman"/>
                <w:kern w:val="2"/>
                <w:sz w:val="21"/>
                <w:szCs w:val="21"/>
                <w14:ligatures w14:val="standardContextual"/>
              </w:rPr>
            </w:pPr>
          </w:p>
        </w:tc>
        <w:tc>
          <w:tcPr>
            <w:tcW w:w="1418" w:type="dxa"/>
            <w:vMerge w:val="continue"/>
            <w:tcMar>
              <w:top w:w="8" w:type="dxa"/>
              <w:left w:w="8" w:type="dxa"/>
              <w:right w:w="8" w:type="dxa"/>
            </w:tcMar>
            <w:vAlign w:val="center"/>
          </w:tcPr>
          <w:p w14:paraId="353FFC6E">
            <w:pPr>
              <w:widowControl w:val="0"/>
              <w:spacing w:line="360" w:lineRule="auto"/>
              <w:rPr>
                <w:rFonts w:hint="eastAsia" w:cs="Times New Roman"/>
                <w:kern w:val="2"/>
                <w:sz w:val="21"/>
                <w:szCs w:val="21"/>
                <w14:ligatures w14:val="standardContextual"/>
              </w:rPr>
            </w:pPr>
          </w:p>
        </w:tc>
        <w:tc>
          <w:tcPr>
            <w:tcW w:w="4394" w:type="dxa"/>
            <w:tcMar>
              <w:top w:w="8" w:type="dxa"/>
              <w:left w:w="8" w:type="dxa"/>
              <w:right w:w="8" w:type="dxa"/>
            </w:tcMar>
            <w:vAlign w:val="center"/>
          </w:tcPr>
          <w:p w14:paraId="54AF02A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提供高级漏洞检索模板，支持将符合筛选条件的漏洞自动加入到自定义漏洞模板中，及后续插件升级包中的漏洞也可以自动加入到模板中。</w:t>
            </w:r>
            <w:r>
              <w:rPr>
                <w:rFonts w:hint="eastAsia" w:ascii="等线" w:cs="Times New Roman"/>
                <w:kern w:val="2"/>
                <w:sz w:val="21"/>
                <w:szCs w:val="21"/>
                <w14:ligatures w14:val="standardContextual"/>
              </w:rPr>
              <w:t>（需提供产品界面截图证明）</w:t>
            </w:r>
          </w:p>
        </w:tc>
        <w:tc>
          <w:tcPr>
            <w:tcW w:w="1213" w:type="dxa"/>
            <w:vAlign w:val="center"/>
          </w:tcPr>
          <w:p w14:paraId="6691724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5A91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6FB910BA">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78008315">
            <w:pPr>
              <w:widowControl w:val="0"/>
              <w:spacing w:line="360" w:lineRule="auto"/>
              <w:jc w:val="center"/>
              <w:rPr>
                <w:rFonts w:hint="eastAsia" w:cs="Times New Roman"/>
                <w:kern w:val="2"/>
                <w:sz w:val="21"/>
                <w:szCs w:val="21"/>
                <w14:ligatures w14:val="standardContextual"/>
              </w:rPr>
            </w:pPr>
          </w:p>
        </w:tc>
        <w:tc>
          <w:tcPr>
            <w:tcW w:w="1418" w:type="dxa"/>
            <w:vMerge w:val="continue"/>
            <w:tcMar>
              <w:top w:w="8" w:type="dxa"/>
              <w:left w:w="8" w:type="dxa"/>
              <w:right w:w="8" w:type="dxa"/>
            </w:tcMar>
            <w:vAlign w:val="center"/>
          </w:tcPr>
          <w:p w14:paraId="4A204FA1">
            <w:pPr>
              <w:widowControl w:val="0"/>
              <w:spacing w:line="360" w:lineRule="auto"/>
              <w:rPr>
                <w:rFonts w:hint="eastAsia" w:cs="Times New Roman"/>
                <w:kern w:val="2"/>
                <w:sz w:val="21"/>
                <w:szCs w:val="21"/>
                <w14:ligatures w14:val="standardContextual"/>
              </w:rPr>
            </w:pPr>
          </w:p>
        </w:tc>
        <w:tc>
          <w:tcPr>
            <w:tcW w:w="4394" w:type="dxa"/>
            <w:tcMar>
              <w:top w:w="8" w:type="dxa"/>
              <w:left w:w="8" w:type="dxa"/>
              <w:right w:w="8" w:type="dxa"/>
            </w:tcMar>
            <w:vAlign w:val="center"/>
          </w:tcPr>
          <w:p w14:paraId="6E672AC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具备单独口令猜测扫描任务，支持多种口令猜测方式，包括利用SMB、RDP、TELNET、FTP、SSH、POP3、Tomcat、SQL SERVER、MySQL、Oracle、Sybase、DB2、MONGODB、SNMP等协议进行口令猜测，允许外挂用户提供的用户名字典、密码字典和用户名密码组合字典。</w:t>
            </w:r>
          </w:p>
        </w:tc>
        <w:tc>
          <w:tcPr>
            <w:tcW w:w="1213" w:type="dxa"/>
            <w:vAlign w:val="center"/>
          </w:tcPr>
          <w:p w14:paraId="2B29DED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954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52D11BF8">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4D1C5B1B">
            <w:pPr>
              <w:widowControl w:val="0"/>
              <w:spacing w:line="360" w:lineRule="auto"/>
              <w:jc w:val="center"/>
              <w:rPr>
                <w:rFonts w:hint="eastAsia" w:cs="Times New Roman"/>
                <w:kern w:val="2"/>
                <w:sz w:val="21"/>
                <w:szCs w:val="21"/>
                <w14:ligatures w14:val="standardContextual"/>
              </w:rPr>
            </w:pPr>
          </w:p>
        </w:tc>
        <w:tc>
          <w:tcPr>
            <w:tcW w:w="1418" w:type="dxa"/>
            <w:vMerge w:val="continue"/>
            <w:tcMar>
              <w:top w:w="8" w:type="dxa"/>
              <w:left w:w="8" w:type="dxa"/>
              <w:right w:w="8" w:type="dxa"/>
            </w:tcMar>
            <w:vAlign w:val="center"/>
          </w:tcPr>
          <w:p w14:paraId="33E7D7FC">
            <w:pPr>
              <w:widowControl w:val="0"/>
              <w:spacing w:line="360" w:lineRule="auto"/>
              <w:rPr>
                <w:rFonts w:hint="eastAsia" w:cs="Times New Roman"/>
                <w:kern w:val="2"/>
                <w:sz w:val="21"/>
                <w:szCs w:val="21"/>
                <w14:ligatures w14:val="standardContextual"/>
              </w:rPr>
            </w:pPr>
          </w:p>
        </w:tc>
        <w:tc>
          <w:tcPr>
            <w:tcW w:w="4394" w:type="dxa"/>
            <w:tcMar>
              <w:top w:w="8" w:type="dxa"/>
              <w:left w:w="8" w:type="dxa"/>
              <w:right w:w="8" w:type="dxa"/>
            </w:tcMar>
            <w:vAlign w:val="center"/>
          </w:tcPr>
          <w:p w14:paraId="1ABC70EF">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 xml:space="preserve">支持复用已有任务配置用于新的扫描任务。 </w:t>
            </w:r>
          </w:p>
        </w:tc>
        <w:tc>
          <w:tcPr>
            <w:tcW w:w="1213" w:type="dxa"/>
            <w:vAlign w:val="center"/>
          </w:tcPr>
          <w:p w14:paraId="0744E9F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5D05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3BA8F488">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5585F57A">
            <w:pPr>
              <w:widowControl w:val="0"/>
              <w:spacing w:line="360" w:lineRule="auto"/>
              <w:jc w:val="center"/>
              <w:rPr>
                <w:rFonts w:hint="eastAsia" w:cs="Times New Roman"/>
                <w:kern w:val="2"/>
                <w:sz w:val="21"/>
                <w:szCs w:val="21"/>
                <w14:ligatures w14:val="standardContextual"/>
              </w:rPr>
            </w:pPr>
          </w:p>
        </w:tc>
        <w:tc>
          <w:tcPr>
            <w:tcW w:w="1418" w:type="dxa"/>
            <w:vMerge w:val="continue"/>
            <w:tcMar>
              <w:top w:w="8" w:type="dxa"/>
              <w:left w:w="8" w:type="dxa"/>
              <w:right w:w="8" w:type="dxa"/>
            </w:tcMar>
            <w:vAlign w:val="center"/>
          </w:tcPr>
          <w:p w14:paraId="061FB9F1">
            <w:pPr>
              <w:widowControl w:val="0"/>
              <w:spacing w:line="360" w:lineRule="auto"/>
              <w:rPr>
                <w:rFonts w:hint="eastAsia" w:cs="Times New Roman"/>
                <w:kern w:val="2"/>
                <w:sz w:val="21"/>
                <w:szCs w:val="21"/>
                <w14:ligatures w14:val="standardContextual"/>
              </w:rPr>
            </w:pPr>
          </w:p>
        </w:tc>
        <w:tc>
          <w:tcPr>
            <w:tcW w:w="4394" w:type="dxa"/>
            <w:tcMar>
              <w:top w:w="8" w:type="dxa"/>
              <w:left w:w="8" w:type="dxa"/>
              <w:right w:w="8" w:type="dxa"/>
            </w:tcMar>
            <w:vAlign w:val="center"/>
          </w:tcPr>
          <w:p w14:paraId="2AC8879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提供通过资产树对资产进行分级管理，支持设备权重设置和可信设备登记，支持将资产信息批量导入到资产树，可在资产树上直接指定主机开展扫描任务。</w:t>
            </w:r>
          </w:p>
        </w:tc>
        <w:tc>
          <w:tcPr>
            <w:tcW w:w="1213" w:type="dxa"/>
            <w:vAlign w:val="center"/>
          </w:tcPr>
          <w:p w14:paraId="195E79E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06E1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53973029">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6E65B92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418" w:type="dxa"/>
            <w:vMerge w:val="continue"/>
            <w:tcMar>
              <w:top w:w="8" w:type="dxa"/>
              <w:left w:w="8" w:type="dxa"/>
              <w:right w:w="8" w:type="dxa"/>
            </w:tcMar>
            <w:vAlign w:val="center"/>
          </w:tcPr>
          <w:p w14:paraId="2E6B0E97">
            <w:pPr>
              <w:widowControl w:val="0"/>
              <w:spacing w:line="360" w:lineRule="auto"/>
              <w:rPr>
                <w:rFonts w:hint="eastAsia" w:cs="Times New Roman"/>
                <w:kern w:val="2"/>
                <w:sz w:val="21"/>
                <w:szCs w:val="21"/>
                <w14:ligatures w14:val="standardContextual"/>
              </w:rPr>
            </w:pPr>
          </w:p>
        </w:tc>
        <w:tc>
          <w:tcPr>
            <w:tcW w:w="4394" w:type="dxa"/>
            <w:tcMar>
              <w:top w:w="8" w:type="dxa"/>
              <w:left w:w="8" w:type="dxa"/>
              <w:right w:w="8" w:type="dxa"/>
            </w:tcMar>
            <w:vAlign w:val="center"/>
          </w:tcPr>
          <w:p w14:paraId="330A2CA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支持风险告警和风险闭环处理，可在集中告警平台灵活配置告警内容、告警方式、告警资产范围等，支持邮件和页面告警，支持单个或批量修改风险状态。（需提供产品界面截图证明）</w:t>
            </w:r>
          </w:p>
        </w:tc>
        <w:tc>
          <w:tcPr>
            <w:tcW w:w="1213" w:type="dxa"/>
            <w:vAlign w:val="center"/>
          </w:tcPr>
          <w:p w14:paraId="3B52366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3DC0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212A1E1E">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393450E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418" w:type="dxa"/>
            <w:vMerge w:val="continue"/>
            <w:tcMar>
              <w:top w:w="8" w:type="dxa"/>
              <w:left w:w="8" w:type="dxa"/>
              <w:right w:w="8" w:type="dxa"/>
            </w:tcMar>
            <w:vAlign w:val="center"/>
          </w:tcPr>
          <w:p w14:paraId="0650196B">
            <w:pPr>
              <w:widowControl w:val="0"/>
              <w:spacing w:line="360" w:lineRule="auto"/>
              <w:rPr>
                <w:rFonts w:hint="eastAsia" w:cs="Times New Roman"/>
                <w:kern w:val="2"/>
                <w:sz w:val="21"/>
                <w:szCs w:val="21"/>
                <w14:ligatures w14:val="standardContextual"/>
              </w:rPr>
            </w:pPr>
          </w:p>
        </w:tc>
        <w:tc>
          <w:tcPr>
            <w:tcW w:w="4394" w:type="dxa"/>
            <w:tcMar>
              <w:top w:w="8" w:type="dxa"/>
              <w:left w:w="8" w:type="dxa"/>
              <w:right w:w="8" w:type="dxa"/>
            </w:tcMar>
            <w:vAlign w:val="center"/>
          </w:tcPr>
          <w:p w14:paraId="4C704DA7">
            <w:pPr>
              <w:widowControl w:val="0"/>
              <w:spacing w:line="360" w:lineRule="auto"/>
              <w:rPr>
                <w:rFonts w:hint="eastAsia" w:cs="Times New Roman"/>
                <w:kern w:val="2"/>
                <w:sz w:val="21"/>
                <w:szCs w:val="21"/>
                <w14:ligatures w14:val="standardContextual"/>
              </w:rPr>
            </w:pPr>
            <w:bookmarkStart w:id="1856" w:name="OLE_LINK83"/>
            <w:r>
              <w:rPr>
                <w:rFonts w:hint="eastAsia" w:cs="Times New Roman"/>
                <w:kern w:val="2"/>
                <w:sz w:val="21"/>
                <w:szCs w:val="21"/>
                <w14:ligatures w14:val="standardContextual"/>
              </w:rPr>
              <w:t>支持自定义风险</w:t>
            </w:r>
            <w:bookmarkEnd w:id="1856"/>
            <w:r>
              <w:rPr>
                <w:rFonts w:hint="eastAsia" w:cs="Times New Roman"/>
                <w:kern w:val="2"/>
                <w:sz w:val="21"/>
                <w:szCs w:val="21"/>
                <w14:ligatures w14:val="standardContextual"/>
              </w:rPr>
              <w:t>值计算标准配置，可对主机风险等级评定标准和网络风险等级评定标准进行自定义。（需提供产品界面截图证明）</w:t>
            </w:r>
          </w:p>
        </w:tc>
        <w:tc>
          <w:tcPr>
            <w:tcW w:w="1213" w:type="dxa"/>
            <w:vAlign w:val="center"/>
          </w:tcPr>
          <w:p w14:paraId="51928C7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1231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5A1101C5">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739A9B20">
            <w:pPr>
              <w:widowControl w:val="0"/>
              <w:spacing w:line="360" w:lineRule="auto"/>
              <w:jc w:val="center"/>
              <w:rPr>
                <w:rFonts w:hint="eastAsia" w:cs="Times New Roman"/>
                <w:kern w:val="2"/>
                <w:sz w:val="21"/>
                <w:szCs w:val="21"/>
                <w14:ligatures w14:val="standardContextual"/>
              </w:rPr>
            </w:pPr>
          </w:p>
        </w:tc>
        <w:tc>
          <w:tcPr>
            <w:tcW w:w="1418" w:type="dxa"/>
            <w:vMerge w:val="restart"/>
            <w:tcMar>
              <w:top w:w="8" w:type="dxa"/>
              <w:left w:w="8" w:type="dxa"/>
              <w:right w:w="8" w:type="dxa"/>
            </w:tcMar>
            <w:vAlign w:val="center"/>
          </w:tcPr>
          <w:p w14:paraId="4CE5EC5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风险展示和报表</w:t>
            </w:r>
          </w:p>
        </w:tc>
        <w:tc>
          <w:tcPr>
            <w:tcW w:w="4394" w:type="dxa"/>
            <w:tcMar>
              <w:top w:w="8" w:type="dxa"/>
              <w:left w:w="8" w:type="dxa"/>
              <w:right w:w="8" w:type="dxa"/>
            </w:tcMar>
            <w:vAlign w:val="center"/>
          </w:tcPr>
          <w:p w14:paraId="3C358DC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通过仪表盘直观展示资产风险值、漏洞总数、风险资产数/资产总数、扫描任务数、漏洞库新增漏洞TOP20，资产分类统计、资产风险等级分布、漏洞风险分布、风险TOP5、漏洞TOP5、风险数趋势图、整体风险值趋势。</w:t>
            </w:r>
            <w:r>
              <w:rPr>
                <w:rFonts w:hint="eastAsia" w:ascii="等线" w:cs="Times New Roman"/>
                <w:kern w:val="2"/>
                <w:sz w:val="21"/>
                <w:szCs w:val="21"/>
                <w14:ligatures w14:val="standardContextual"/>
              </w:rPr>
              <w:t>（需提供产品界面截图证明）</w:t>
            </w:r>
          </w:p>
        </w:tc>
        <w:tc>
          <w:tcPr>
            <w:tcW w:w="1213" w:type="dxa"/>
            <w:vAlign w:val="center"/>
          </w:tcPr>
          <w:p w14:paraId="48902B67">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7BAD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44" w:type="dxa"/>
            <w:vAlign w:val="center"/>
          </w:tcPr>
          <w:p w14:paraId="6A4666EA">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27209F23">
            <w:pPr>
              <w:widowControl w:val="0"/>
              <w:spacing w:line="360" w:lineRule="auto"/>
              <w:jc w:val="center"/>
              <w:rPr>
                <w:rFonts w:hint="eastAsia" w:cs="Times New Roman"/>
                <w:kern w:val="2"/>
                <w:sz w:val="21"/>
                <w:szCs w:val="21"/>
                <w14:ligatures w14:val="standardContextual"/>
              </w:rPr>
            </w:pPr>
          </w:p>
        </w:tc>
        <w:tc>
          <w:tcPr>
            <w:tcW w:w="1418" w:type="dxa"/>
            <w:vMerge w:val="continue"/>
            <w:tcMar>
              <w:top w:w="8" w:type="dxa"/>
              <w:left w:w="8" w:type="dxa"/>
              <w:right w:w="8" w:type="dxa"/>
            </w:tcMar>
            <w:vAlign w:val="center"/>
          </w:tcPr>
          <w:p w14:paraId="07F6401D">
            <w:pPr>
              <w:widowControl w:val="0"/>
              <w:spacing w:line="360" w:lineRule="auto"/>
              <w:rPr>
                <w:rFonts w:hint="eastAsia" w:cs="Times New Roman"/>
                <w:kern w:val="2"/>
                <w:sz w:val="21"/>
                <w:szCs w:val="21"/>
                <w14:ligatures w14:val="standardContextual"/>
              </w:rPr>
            </w:pPr>
          </w:p>
        </w:tc>
        <w:tc>
          <w:tcPr>
            <w:tcW w:w="4394" w:type="dxa"/>
            <w:tcMar>
              <w:top w:w="8" w:type="dxa"/>
              <w:left w:w="8" w:type="dxa"/>
              <w:right w:w="8" w:type="dxa"/>
            </w:tcMar>
            <w:vAlign w:val="center"/>
          </w:tcPr>
          <w:p w14:paraId="426FDBE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支持高级数据分析，可对同一IP的两次扫描结果进行风险对比分析，并可在线查看同一IP的多次历史扫描结果。</w:t>
            </w:r>
          </w:p>
        </w:tc>
        <w:tc>
          <w:tcPr>
            <w:tcW w:w="1213" w:type="dxa"/>
            <w:vAlign w:val="center"/>
          </w:tcPr>
          <w:p w14:paraId="2AB99F9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04A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3CCEAD3B">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041F1E16">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418" w:type="dxa"/>
            <w:tcMar>
              <w:top w:w="8" w:type="dxa"/>
              <w:left w:w="8" w:type="dxa"/>
              <w:right w:w="8" w:type="dxa"/>
            </w:tcMar>
            <w:vAlign w:val="center"/>
          </w:tcPr>
          <w:p w14:paraId="086E176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产品资质</w:t>
            </w:r>
          </w:p>
        </w:tc>
        <w:tc>
          <w:tcPr>
            <w:tcW w:w="4394" w:type="dxa"/>
            <w:tcMar>
              <w:top w:w="8" w:type="dxa"/>
              <w:left w:w="8" w:type="dxa"/>
              <w:right w:w="8" w:type="dxa"/>
            </w:tcMar>
            <w:vAlign w:val="center"/>
          </w:tcPr>
          <w:p w14:paraId="2337EA24">
            <w:pPr>
              <w:widowControl w:val="0"/>
              <w:spacing w:line="360" w:lineRule="auto"/>
              <w:rPr>
                <w:rFonts w:hint="eastAsia" w:ascii="等线" w:cs="Times New Roman"/>
                <w:kern w:val="2"/>
                <w:sz w:val="21"/>
                <w:szCs w:val="21"/>
                <w14:ligatures w14:val="standardContextual"/>
              </w:rPr>
            </w:pPr>
            <w:r>
              <w:rPr>
                <w:rFonts w:hint="eastAsia" w:cs="Times New Roman"/>
                <w:kern w:val="2"/>
                <w:sz w:val="21"/>
                <w:szCs w:val="21"/>
                <w14:ligatures w14:val="standardContextual"/>
              </w:rPr>
              <w:t>产品具备由中国网络安全审查技术与认证中心颁发的网络关键设备和网络安全专用产品安全认证证书。</w:t>
            </w:r>
          </w:p>
          <w:p w14:paraId="36DB5479">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产品具备由中国信息安全测评中心颁发的国家信息安全漏洞库（CNNVD兼容性资质证书）。</w:t>
            </w:r>
          </w:p>
        </w:tc>
        <w:tc>
          <w:tcPr>
            <w:tcW w:w="1213" w:type="dxa"/>
            <w:vAlign w:val="center"/>
          </w:tcPr>
          <w:p w14:paraId="125AE4A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1C52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3688F930">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392CB7D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1418" w:type="dxa"/>
            <w:tcMar>
              <w:top w:w="8" w:type="dxa"/>
              <w:left w:w="8" w:type="dxa"/>
              <w:right w:w="8" w:type="dxa"/>
            </w:tcMar>
            <w:vAlign w:val="center"/>
          </w:tcPr>
          <w:p w14:paraId="0D3960F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兼容性</w:t>
            </w:r>
          </w:p>
        </w:tc>
        <w:tc>
          <w:tcPr>
            <w:tcW w:w="4394" w:type="dxa"/>
            <w:tcMar>
              <w:top w:w="8" w:type="dxa"/>
              <w:left w:w="8" w:type="dxa"/>
              <w:right w:w="8" w:type="dxa"/>
            </w:tcMar>
            <w:vAlign w:val="center"/>
          </w:tcPr>
          <w:p w14:paraId="5BBDE534">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支持导入旧设备全部配置，导入过程中配置数据不发生损坏、篡改。导入完成后，与旧设备配置数据一致（提供所投产品的制造商出具的承诺函）。</w:t>
            </w:r>
          </w:p>
        </w:tc>
        <w:tc>
          <w:tcPr>
            <w:tcW w:w="1213" w:type="dxa"/>
            <w:vAlign w:val="center"/>
          </w:tcPr>
          <w:p w14:paraId="436E9B62">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3DF5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44" w:type="dxa"/>
            <w:vAlign w:val="center"/>
          </w:tcPr>
          <w:p w14:paraId="46E018A7">
            <w:pPr>
              <w:widowControl w:val="0"/>
              <w:numPr>
                <w:ilvl w:val="0"/>
                <w:numId w:val="14"/>
              </w:numPr>
              <w:spacing w:line="360" w:lineRule="auto"/>
              <w:contextualSpacing/>
              <w:jc w:val="center"/>
              <w:rPr>
                <w:rFonts w:hint="eastAsia" w:cs="Times New Roman"/>
                <w:kern w:val="2"/>
                <w:sz w:val="21"/>
                <w:szCs w:val="21"/>
                <w14:ligatures w14:val="standardContextual"/>
              </w:rPr>
            </w:pPr>
          </w:p>
        </w:tc>
        <w:tc>
          <w:tcPr>
            <w:tcW w:w="727" w:type="dxa"/>
            <w:tcMar>
              <w:top w:w="8" w:type="dxa"/>
              <w:left w:w="8" w:type="dxa"/>
              <w:right w:w="8" w:type="dxa"/>
            </w:tcMar>
            <w:vAlign w:val="center"/>
          </w:tcPr>
          <w:p w14:paraId="26B70913">
            <w:pPr>
              <w:widowControl w:val="0"/>
              <w:spacing w:line="360" w:lineRule="auto"/>
              <w:jc w:val="center"/>
              <w:rPr>
                <w:rFonts w:hint="eastAsia" w:cs="Times New Roman"/>
                <w:kern w:val="2"/>
                <w:sz w:val="21"/>
                <w:szCs w:val="21"/>
                <w14:ligatures w14:val="standardContextual"/>
              </w:rPr>
            </w:pPr>
            <w:r>
              <w:rPr>
                <w:rFonts w:cs="Times New Roman"/>
                <w:sz w:val="21"/>
                <w:szCs w:val="21"/>
                <w14:ligatures w14:val="standardContextual"/>
              </w:rPr>
              <w:t>#</w:t>
            </w:r>
          </w:p>
        </w:tc>
        <w:tc>
          <w:tcPr>
            <w:tcW w:w="1418" w:type="dxa"/>
            <w:tcMar>
              <w:top w:w="8" w:type="dxa"/>
              <w:left w:w="8" w:type="dxa"/>
              <w:right w:w="8" w:type="dxa"/>
            </w:tcMar>
            <w:vAlign w:val="center"/>
          </w:tcPr>
          <w:p w14:paraId="6792645E">
            <w:pPr>
              <w:widowControl w:val="0"/>
              <w:spacing w:line="360" w:lineRule="auto"/>
              <w:rPr>
                <w:rFonts w:hint="eastAsia" w:cs="Times New Roman"/>
                <w:kern w:val="2"/>
                <w:sz w:val="21"/>
                <w:szCs w:val="21"/>
                <w14:ligatures w14:val="standardContextual"/>
              </w:rPr>
            </w:pPr>
            <w:r>
              <w:rPr>
                <w:rFonts w:hint="eastAsia" w:cs="华文中宋"/>
                <w:kern w:val="2"/>
                <w:sz w:val="21"/>
                <w:szCs w:val="21"/>
                <w:lang w:bidi="en-US"/>
                <w14:ligatures w14:val="standardContextual"/>
              </w:rPr>
              <w:t>授权</w:t>
            </w:r>
          </w:p>
        </w:tc>
        <w:tc>
          <w:tcPr>
            <w:tcW w:w="4394" w:type="dxa"/>
            <w:tcMar>
              <w:top w:w="8" w:type="dxa"/>
              <w:left w:w="8" w:type="dxa"/>
              <w:right w:w="8" w:type="dxa"/>
            </w:tcMar>
            <w:vAlign w:val="center"/>
          </w:tcPr>
          <w:p w14:paraId="75490F79">
            <w:pPr>
              <w:widowControl w:val="0"/>
              <w:spacing w:line="360" w:lineRule="auto"/>
              <w:rPr>
                <w:rFonts w:hint="eastAsia" w:cs="Times New Roman"/>
                <w:color w:val="EE0000"/>
                <w:kern w:val="2"/>
                <w:sz w:val="21"/>
                <w:szCs w:val="21"/>
                <w14:ligatures w14:val="standardContextual"/>
              </w:rPr>
            </w:pPr>
            <w:r>
              <w:rPr>
                <w:rFonts w:hint="eastAsia" w:cs="华文中宋"/>
                <w:kern w:val="2"/>
                <w:sz w:val="21"/>
                <w:szCs w:val="21"/>
                <w:lang w:bidi="en-US"/>
                <w14:ligatures w14:val="standardContextual"/>
              </w:rPr>
              <w:t>提供三年原厂7*10小时现场服务；（</w:t>
            </w:r>
            <w:r>
              <w:rPr>
                <w:rFonts w:hint="eastAsia" w:cs="Times New Roman"/>
                <w:color w:val="000000"/>
                <w:kern w:val="2"/>
                <w:sz w:val="21"/>
                <w:szCs w:val="21"/>
                <w14:ligatures w14:val="standardContextual"/>
              </w:rPr>
              <w:t>提供</w:t>
            </w:r>
            <w:r>
              <w:rPr>
                <w:rFonts w:hint="eastAsia" w:cs="Arial"/>
                <w:color w:val="000000"/>
                <w:kern w:val="2"/>
                <w:sz w:val="21"/>
                <w:szCs w:val="21"/>
                <w14:ligatures w14:val="standardContextual"/>
              </w:rPr>
              <w:t>所投产品的制造商出具的</w:t>
            </w:r>
            <w:r>
              <w:rPr>
                <w:rFonts w:hint="eastAsia" w:cs="Times New Roman"/>
                <w:color w:val="000000"/>
                <w:kern w:val="2"/>
                <w:sz w:val="21"/>
                <w:szCs w:val="21"/>
                <w14:ligatures w14:val="standardContextual"/>
              </w:rPr>
              <w:t>授权</w:t>
            </w:r>
            <w:r>
              <w:rPr>
                <w:rFonts w:hint="eastAsia" w:cs="Arial"/>
                <w:color w:val="000000"/>
                <w:kern w:val="2"/>
                <w:sz w:val="21"/>
                <w:szCs w:val="21"/>
                <w14:ligatures w14:val="standardContextual"/>
              </w:rPr>
              <w:t>书</w:t>
            </w:r>
            <w:r>
              <w:rPr>
                <w:rFonts w:hint="eastAsia" w:cs="华文中宋"/>
                <w:kern w:val="2"/>
                <w:sz w:val="21"/>
                <w:szCs w:val="21"/>
                <w:lang w:bidi="en-US"/>
                <w14:ligatures w14:val="standardContextual"/>
              </w:rPr>
              <w:t>）</w:t>
            </w:r>
          </w:p>
        </w:tc>
        <w:tc>
          <w:tcPr>
            <w:tcW w:w="1213" w:type="dxa"/>
            <w:vAlign w:val="center"/>
          </w:tcPr>
          <w:p w14:paraId="22AFC12E">
            <w:pPr>
              <w:widowControl w:val="0"/>
              <w:spacing w:line="360" w:lineRule="auto"/>
              <w:jc w:val="center"/>
              <w:rPr>
                <w:rFonts w:hint="eastAsia" w:cs="Times New Roman"/>
                <w:color w:val="EE0000"/>
                <w:kern w:val="2"/>
                <w:sz w:val="21"/>
                <w:szCs w:val="21"/>
                <w14:ligatures w14:val="standardContextual"/>
              </w:rPr>
            </w:pPr>
            <w:r>
              <w:rPr>
                <w:rFonts w:hint="eastAsia"/>
                <w:sz w:val="21"/>
                <w:szCs w:val="21"/>
                <w14:ligatures w14:val="standardContextual"/>
              </w:rPr>
              <w:t>是</w:t>
            </w:r>
          </w:p>
        </w:tc>
      </w:tr>
    </w:tbl>
    <w:p w14:paraId="7FBC9799">
      <w:pPr>
        <w:widowControl w:val="0"/>
        <w:spacing w:line="360" w:lineRule="auto"/>
        <w:rPr>
          <w:rFonts w:hint="eastAsia" w:ascii="等线" w:hAnsi="等线" w:cs="Times New Roman"/>
          <w:kern w:val="2"/>
          <w:sz w:val="21"/>
          <w:szCs w:val="21"/>
          <w14:ligatures w14:val="standardContextual"/>
        </w:rPr>
      </w:pPr>
    </w:p>
    <w:p w14:paraId="0FF5AC14">
      <w:pPr>
        <w:keepNext/>
        <w:keepLines/>
        <w:widowControl w:val="0"/>
        <w:numPr>
          <w:ilvl w:val="3"/>
          <w:numId w:val="11"/>
        </w:numPr>
        <w:spacing w:line="360" w:lineRule="auto"/>
        <w:ind w:firstLine="200"/>
        <w:outlineLvl w:val="3"/>
        <w:rPr>
          <w:rFonts w:hint="eastAsia" w:ascii="等线 Light" w:hAnsi="等线 Light" w:cs="Times New Roman"/>
          <w:b/>
          <w:kern w:val="2"/>
          <w:sz w:val="21"/>
          <w:szCs w:val="21"/>
          <w14:ligatures w14:val="standardContextual"/>
        </w:rPr>
      </w:pPr>
      <w:r>
        <w:rPr>
          <w:rFonts w:hint="eastAsia" w:ascii="等线 Light" w:hAnsi="等线 Light" w:cs="Times New Roman"/>
          <w:b/>
          <w:kern w:val="2"/>
          <w:sz w:val="21"/>
          <w:szCs w:val="21"/>
          <w14:ligatures w14:val="standardContextual"/>
        </w:rPr>
        <w:t>漏洞无效化系统（1台）</w:t>
      </w:r>
    </w:p>
    <w:p w14:paraId="626B25CE">
      <w:pPr>
        <w:widowControl w:val="0"/>
        <w:spacing w:line="360" w:lineRule="auto"/>
        <w:rPr>
          <w:rFonts w:hint="eastAsia" w:cs="Times New Roman"/>
          <w:kern w:val="2"/>
          <w:sz w:val="21"/>
          <w:szCs w:val="21"/>
          <w14:ligatures w14:val="standardContextual"/>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728"/>
        <w:gridCol w:w="1422"/>
        <w:gridCol w:w="4406"/>
        <w:gridCol w:w="1216"/>
      </w:tblGrid>
      <w:tr w14:paraId="5A65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shd w:val="clear" w:color="auto" w:fill="E7E6E6"/>
            <w:vAlign w:val="center"/>
          </w:tcPr>
          <w:p w14:paraId="76881A7B">
            <w:pPr>
              <w:jc w:val="center"/>
              <w:rPr>
                <w:rFonts w:hint="eastAsia"/>
                <w:b/>
                <w:bCs/>
                <w:sz w:val="21"/>
                <w:szCs w:val="21"/>
              </w:rPr>
            </w:pPr>
            <w:bookmarkStart w:id="1857" w:name="_Hlk202259225"/>
            <w:r>
              <w:rPr>
                <w:rFonts w:hint="eastAsia"/>
                <w:b/>
                <w:bCs/>
                <w:sz w:val="21"/>
                <w:szCs w:val="21"/>
              </w:rPr>
              <w:t>序号</w:t>
            </w:r>
          </w:p>
        </w:tc>
        <w:tc>
          <w:tcPr>
            <w:tcW w:w="438" w:type="pct"/>
            <w:shd w:val="clear" w:color="auto" w:fill="E7E6E6"/>
            <w:tcMar>
              <w:top w:w="8" w:type="dxa"/>
              <w:left w:w="8" w:type="dxa"/>
              <w:right w:w="8" w:type="dxa"/>
            </w:tcMar>
            <w:vAlign w:val="center"/>
          </w:tcPr>
          <w:p w14:paraId="57A3C1C2">
            <w:pPr>
              <w:jc w:val="center"/>
              <w:rPr>
                <w:rFonts w:hint="eastAsia"/>
                <w:b/>
                <w:bCs/>
                <w:sz w:val="21"/>
                <w:szCs w:val="21"/>
              </w:rPr>
            </w:pPr>
            <w:r>
              <w:rPr>
                <w:rFonts w:hint="eastAsia"/>
                <w:b/>
                <w:bCs/>
                <w:sz w:val="21"/>
                <w:szCs w:val="21"/>
              </w:rPr>
              <w:t>关键指标</w:t>
            </w:r>
          </w:p>
        </w:tc>
        <w:tc>
          <w:tcPr>
            <w:tcW w:w="855" w:type="pct"/>
            <w:shd w:val="clear" w:color="auto" w:fill="E7E6E6"/>
            <w:tcMar>
              <w:top w:w="8" w:type="dxa"/>
              <w:left w:w="8" w:type="dxa"/>
              <w:right w:w="8" w:type="dxa"/>
            </w:tcMar>
            <w:vAlign w:val="center"/>
          </w:tcPr>
          <w:p w14:paraId="21C0B45B">
            <w:pPr>
              <w:jc w:val="center"/>
              <w:rPr>
                <w:rFonts w:hint="eastAsia"/>
                <w:b/>
                <w:bCs/>
                <w:sz w:val="21"/>
                <w:szCs w:val="21"/>
              </w:rPr>
            </w:pPr>
            <w:r>
              <w:rPr>
                <w:rFonts w:hint="eastAsia"/>
                <w:b/>
                <w:bCs/>
                <w:sz w:val="21"/>
                <w:szCs w:val="21"/>
              </w:rPr>
              <w:t>产品要求</w:t>
            </w:r>
          </w:p>
        </w:tc>
        <w:tc>
          <w:tcPr>
            <w:tcW w:w="2649" w:type="pct"/>
            <w:shd w:val="clear" w:color="auto" w:fill="E7E6E6"/>
            <w:tcMar>
              <w:top w:w="8" w:type="dxa"/>
              <w:left w:w="8" w:type="dxa"/>
              <w:right w:w="8" w:type="dxa"/>
            </w:tcMar>
            <w:vAlign w:val="center"/>
          </w:tcPr>
          <w:p w14:paraId="6434C362">
            <w:pPr>
              <w:jc w:val="center"/>
              <w:rPr>
                <w:rFonts w:hint="eastAsia"/>
                <w:b/>
                <w:bCs/>
                <w:sz w:val="21"/>
                <w:szCs w:val="21"/>
              </w:rPr>
            </w:pPr>
            <w:r>
              <w:rPr>
                <w:rFonts w:hint="eastAsia"/>
                <w:b/>
                <w:bCs/>
                <w:sz w:val="21"/>
                <w:szCs w:val="21"/>
              </w:rPr>
              <w:t>技术参数</w:t>
            </w:r>
          </w:p>
        </w:tc>
        <w:tc>
          <w:tcPr>
            <w:tcW w:w="731" w:type="pct"/>
            <w:shd w:val="clear" w:color="auto" w:fill="E7E6E6"/>
          </w:tcPr>
          <w:p w14:paraId="32A89FD3">
            <w:pPr>
              <w:jc w:val="center"/>
              <w:rPr>
                <w:rFonts w:hint="eastAsia"/>
                <w:b/>
                <w:bCs/>
                <w:sz w:val="21"/>
                <w:szCs w:val="21"/>
              </w:rPr>
            </w:pPr>
            <w:r>
              <w:rPr>
                <w:rFonts w:hint="eastAsia"/>
                <w:b/>
                <w:bCs/>
                <w:sz w:val="21"/>
                <w:szCs w:val="21"/>
              </w:rPr>
              <w:t>证明材料是否要求</w:t>
            </w:r>
          </w:p>
        </w:tc>
      </w:tr>
      <w:tr w14:paraId="6C07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70CD6E96">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260B88FB">
            <w:pPr>
              <w:jc w:val="center"/>
              <w:rPr>
                <w:rFonts w:hint="eastAsia"/>
                <w:sz w:val="21"/>
                <w:szCs w:val="21"/>
              </w:rPr>
            </w:pPr>
          </w:p>
        </w:tc>
        <w:tc>
          <w:tcPr>
            <w:tcW w:w="855" w:type="pct"/>
            <w:tcMar>
              <w:top w:w="8" w:type="dxa"/>
              <w:left w:w="8" w:type="dxa"/>
              <w:right w:w="8" w:type="dxa"/>
            </w:tcMar>
            <w:vAlign w:val="center"/>
          </w:tcPr>
          <w:p w14:paraId="45087BE4">
            <w:pPr>
              <w:rPr>
                <w:rFonts w:hint="eastAsia"/>
                <w:sz w:val="21"/>
                <w:szCs w:val="21"/>
              </w:rPr>
            </w:pPr>
            <w:r>
              <w:rPr>
                <w:rFonts w:hint="eastAsia"/>
                <w:sz w:val="21"/>
                <w:szCs w:val="21"/>
              </w:rPr>
              <w:t>产品规格</w:t>
            </w:r>
          </w:p>
        </w:tc>
        <w:tc>
          <w:tcPr>
            <w:tcW w:w="2649" w:type="pct"/>
            <w:tcMar>
              <w:top w:w="8" w:type="dxa"/>
              <w:left w:w="8" w:type="dxa"/>
              <w:right w:w="8" w:type="dxa"/>
            </w:tcMar>
            <w:vAlign w:val="center"/>
          </w:tcPr>
          <w:p w14:paraId="7A787C91">
            <w:pPr>
              <w:rPr>
                <w:rFonts w:hint="eastAsia"/>
                <w:sz w:val="21"/>
                <w:szCs w:val="21"/>
              </w:rPr>
            </w:pPr>
            <w:r>
              <w:rPr>
                <w:rFonts w:hint="eastAsia"/>
                <w:sz w:val="21"/>
                <w:szCs w:val="21"/>
              </w:rPr>
              <w:t>产品应为标准2U机架式硬件，含交流冗余电源，不小于128G SSD硬盘，不小于12T*4硬盘，支持Raid 5，管理口≥2GE，不少于4个10/100/1000M电口，不少于4个千兆光口，不少于4个万兆SFPP插槽，除以配置接口外不少于2个扩展槽，应采用国产化CPU及操作系统</w:t>
            </w:r>
          </w:p>
        </w:tc>
        <w:tc>
          <w:tcPr>
            <w:tcW w:w="731" w:type="pct"/>
            <w:vAlign w:val="center"/>
          </w:tcPr>
          <w:p w14:paraId="12607499">
            <w:pPr>
              <w:jc w:val="center"/>
              <w:rPr>
                <w:rFonts w:hint="eastAsia"/>
                <w:sz w:val="21"/>
                <w:szCs w:val="21"/>
              </w:rPr>
            </w:pPr>
            <w:r>
              <w:rPr>
                <w:rFonts w:hint="eastAsia"/>
                <w:sz w:val="21"/>
                <w:szCs w:val="21"/>
              </w:rPr>
              <w:t>否</w:t>
            </w:r>
          </w:p>
        </w:tc>
      </w:tr>
      <w:tr w14:paraId="7F46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7" w:type="pct"/>
            <w:vAlign w:val="center"/>
          </w:tcPr>
          <w:p w14:paraId="49CEA8BD">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2ABECDE9">
            <w:pPr>
              <w:jc w:val="center"/>
              <w:rPr>
                <w:rFonts w:hint="eastAsia"/>
                <w:sz w:val="21"/>
                <w:szCs w:val="21"/>
              </w:rPr>
            </w:pPr>
            <w:r>
              <w:rPr>
                <w:rFonts w:hint="eastAsia"/>
                <w:sz w:val="21"/>
                <w:szCs w:val="21"/>
              </w:rPr>
              <w:t>#</w:t>
            </w:r>
          </w:p>
        </w:tc>
        <w:tc>
          <w:tcPr>
            <w:tcW w:w="855" w:type="pct"/>
            <w:tcMar>
              <w:top w:w="8" w:type="dxa"/>
              <w:left w:w="8" w:type="dxa"/>
              <w:right w:w="8" w:type="dxa"/>
            </w:tcMar>
            <w:vAlign w:val="center"/>
          </w:tcPr>
          <w:p w14:paraId="60C8D613">
            <w:pPr>
              <w:rPr>
                <w:rFonts w:hint="eastAsia"/>
                <w:sz w:val="21"/>
                <w:szCs w:val="21"/>
              </w:rPr>
            </w:pPr>
            <w:r>
              <w:rPr>
                <w:rFonts w:hint="eastAsia"/>
                <w:color w:val="000000"/>
                <w:sz w:val="21"/>
                <w:szCs w:val="21"/>
                <w:lang w:bidi="ar"/>
              </w:rPr>
              <w:t>性能</w:t>
            </w:r>
          </w:p>
        </w:tc>
        <w:tc>
          <w:tcPr>
            <w:tcW w:w="2649" w:type="pct"/>
            <w:tcMar>
              <w:top w:w="8" w:type="dxa"/>
              <w:left w:w="8" w:type="dxa"/>
              <w:right w:w="8" w:type="dxa"/>
            </w:tcMar>
            <w:vAlign w:val="center"/>
          </w:tcPr>
          <w:p w14:paraId="67ABD48E">
            <w:pPr>
              <w:rPr>
                <w:rFonts w:hint="eastAsia"/>
                <w:sz w:val="21"/>
                <w:szCs w:val="21"/>
              </w:rPr>
            </w:pPr>
            <w:r>
              <w:rPr>
                <w:rStyle w:val="89"/>
                <w:rFonts w:hint="default"/>
                <w:lang w:bidi="ar"/>
              </w:rPr>
              <w:t>应用层吞吐≥</w:t>
            </w:r>
            <w:r>
              <w:rPr>
                <w:rStyle w:val="88"/>
                <w:rFonts w:ascii="宋体" w:hAnsi="宋体"/>
                <w:lang w:bidi="ar"/>
              </w:rPr>
              <w:t>2G</w:t>
            </w:r>
            <w:r>
              <w:rPr>
                <w:rStyle w:val="89"/>
                <w:rFonts w:hint="default"/>
                <w:lang w:bidi="ar"/>
              </w:rPr>
              <w:t>，授权</w:t>
            </w:r>
            <w:r>
              <w:rPr>
                <w:rStyle w:val="88"/>
                <w:rFonts w:ascii="宋体" w:hAnsi="宋体"/>
                <w:lang w:bidi="ar"/>
              </w:rPr>
              <w:t>3</w:t>
            </w:r>
            <w:r>
              <w:rPr>
                <w:rStyle w:val="89"/>
                <w:rFonts w:hint="default"/>
                <w:lang w:bidi="ar"/>
              </w:rPr>
              <w:t>年入侵、</w:t>
            </w:r>
            <w:r>
              <w:rPr>
                <w:rStyle w:val="88"/>
                <w:rFonts w:ascii="宋体" w:hAnsi="宋体"/>
                <w:lang w:bidi="ar"/>
              </w:rPr>
              <w:t>web</w:t>
            </w:r>
            <w:r>
              <w:rPr>
                <w:rStyle w:val="89"/>
                <w:rFonts w:hint="default"/>
                <w:lang w:bidi="ar"/>
              </w:rPr>
              <w:t>、恶意文件检测功能。</w:t>
            </w:r>
          </w:p>
        </w:tc>
        <w:tc>
          <w:tcPr>
            <w:tcW w:w="731" w:type="pct"/>
            <w:vAlign w:val="center"/>
          </w:tcPr>
          <w:p w14:paraId="1D059FF3">
            <w:pPr>
              <w:jc w:val="center"/>
              <w:rPr>
                <w:rFonts w:hint="eastAsia"/>
                <w:sz w:val="21"/>
                <w:szCs w:val="21"/>
              </w:rPr>
            </w:pPr>
            <w:r>
              <w:rPr>
                <w:rFonts w:hint="eastAsia"/>
                <w:sz w:val="21"/>
                <w:szCs w:val="21"/>
              </w:rPr>
              <w:t>否</w:t>
            </w:r>
          </w:p>
        </w:tc>
      </w:tr>
      <w:tr w14:paraId="46E2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0B78C53D">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2C3B10F3">
            <w:pPr>
              <w:jc w:val="center"/>
              <w:rPr>
                <w:rFonts w:hint="eastAsia"/>
                <w:sz w:val="21"/>
                <w:szCs w:val="21"/>
              </w:rPr>
            </w:pPr>
          </w:p>
        </w:tc>
        <w:tc>
          <w:tcPr>
            <w:tcW w:w="855" w:type="pct"/>
            <w:tcMar>
              <w:top w:w="8" w:type="dxa"/>
              <w:left w:w="8" w:type="dxa"/>
              <w:right w:w="8" w:type="dxa"/>
            </w:tcMar>
            <w:vAlign w:val="center"/>
          </w:tcPr>
          <w:p w14:paraId="09D87104">
            <w:pPr>
              <w:rPr>
                <w:rFonts w:hint="eastAsia"/>
                <w:sz w:val="21"/>
                <w:szCs w:val="21"/>
              </w:rPr>
            </w:pPr>
            <w:r>
              <w:rPr>
                <w:rFonts w:hint="eastAsia"/>
                <w:color w:val="000000"/>
                <w:sz w:val="21"/>
                <w:szCs w:val="21"/>
                <w:lang w:bidi="ar"/>
              </w:rPr>
              <w:t>漏洞防护场景</w:t>
            </w:r>
          </w:p>
        </w:tc>
        <w:tc>
          <w:tcPr>
            <w:tcW w:w="2649" w:type="pct"/>
            <w:tcMar>
              <w:top w:w="8" w:type="dxa"/>
              <w:left w:w="8" w:type="dxa"/>
              <w:right w:w="8" w:type="dxa"/>
            </w:tcMar>
            <w:vAlign w:val="center"/>
          </w:tcPr>
          <w:p w14:paraId="4059F1BF">
            <w:pPr>
              <w:rPr>
                <w:rFonts w:hint="eastAsia"/>
                <w:sz w:val="21"/>
                <w:szCs w:val="21"/>
              </w:rPr>
            </w:pPr>
            <w:r>
              <w:rPr>
                <w:rStyle w:val="89"/>
                <w:rFonts w:hint="default"/>
                <w:lang w:bidi="ar"/>
              </w:rPr>
              <w:t>支持多种漏洞封堵防护配置场景，包含但不限于：全匹配、精确匹配、自动封堵等（提供功能截图证明）。</w:t>
            </w:r>
          </w:p>
        </w:tc>
        <w:tc>
          <w:tcPr>
            <w:tcW w:w="731" w:type="pct"/>
            <w:vAlign w:val="center"/>
          </w:tcPr>
          <w:p w14:paraId="0029B3C5">
            <w:pPr>
              <w:jc w:val="center"/>
              <w:rPr>
                <w:rFonts w:hint="eastAsia"/>
                <w:sz w:val="21"/>
                <w:szCs w:val="21"/>
              </w:rPr>
            </w:pPr>
            <w:bookmarkStart w:id="1858" w:name="OLE_LINK63"/>
            <w:r>
              <w:rPr>
                <w:rFonts w:hint="eastAsia"/>
                <w:sz w:val="21"/>
                <w:szCs w:val="21"/>
              </w:rPr>
              <w:t>是</w:t>
            </w:r>
            <w:bookmarkEnd w:id="1858"/>
          </w:p>
        </w:tc>
      </w:tr>
      <w:tr w14:paraId="075C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3FD08506">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6E0EA238">
            <w:pPr>
              <w:jc w:val="center"/>
              <w:rPr>
                <w:rFonts w:hint="eastAsia"/>
                <w:sz w:val="21"/>
                <w:szCs w:val="21"/>
              </w:rPr>
            </w:pPr>
          </w:p>
        </w:tc>
        <w:tc>
          <w:tcPr>
            <w:tcW w:w="855" w:type="pct"/>
            <w:tcMar>
              <w:top w:w="8" w:type="dxa"/>
              <w:left w:w="8" w:type="dxa"/>
              <w:right w:w="8" w:type="dxa"/>
            </w:tcMar>
            <w:vAlign w:val="center"/>
          </w:tcPr>
          <w:p w14:paraId="1214256B">
            <w:pPr>
              <w:rPr>
                <w:rFonts w:hint="eastAsia"/>
                <w:sz w:val="21"/>
                <w:szCs w:val="21"/>
              </w:rPr>
            </w:pPr>
            <w:r>
              <w:rPr>
                <w:rFonts w:hint="eastAsia"/>
                <w:color w:val="000000"/>
                <w:sz w:val="21"/>
                <w:szCs w:val="21"/>
                <w:lang w:bidi="ar"/>
              </w:rPr>
              <w:t>流量监控</w:t>
            </w:r>
          </w:p>
        </w:tc>
        <w:tc>
          <w:tcPr>
            <w:tcW w:w="2649" w:type="pct"/>
            <w:tcMar>
              <w:top w:w="8" w:type="dxa"/>
              <w:left w:w="8" w:type="dxa"/>
              <w:right w:w="8" w:type="dxa"/>
            </w:tcMar>
            <w:vAlign w:val="center"/>
          </w:tcPr>
          <w:p w14:paraId="20106C59">
            <w:pPr>
              <w:rPr>
                <w:rFonts w:hint="eastAsia"/>
                <w:sz w:val="21"/>
                <w:szCs w:val="21"/>
              </w:rPr>
            </w:pPr>
            <w:r>
              <w:rPr>
                <w:rStyle w:val="89"/>
                <w:rFonts w:hint="default"/>
                <w:lang w:bidi="ar"/>
              </w:rPr>
              <w:t>流量监控支持基于最近</w:t>
            </w:r>
            <w:r>
              <w:rPr>
                <w:rStyle w:val="88"/>
                <w:rFonts w:ascii="宋体" w:hAnsi="宋体"/>
                <w:lang w:bidi="ar"/>
              </w:rPr>
              <w:t>1</w:t>
            </w:r>
            <w:r>
              <w:rPr>
                <w:rStyle w:val="89"/>
                <w:rFonts w:hint="default"/>
                <w:lang w:bidi="ar"/>
              </w:rPr>
              <w:t>小时，今天，最近</w:t>
            </w:r>
            <w:r>
              <w:rPr>
                <w:rStyle w:val="88"/>
                <w:rFonts w:ascii="宋体" w:hAnsi="宋体"/>
                <w:lang w:bidi="ar"/>
              </w:rPr>
              <w:t>7</w:t>
            </w:r>
            <w:r>
              <w:rPr>
                <w:rStyle w:val="89"/>
                <w:rFonts w:hint="default"/>
                <w:lang w:bidi="ar"/>
              </w:rPr>
              <w:t>天三个时间范围对流量进行检索，根据聚合维度生成最近流量统计图，接口信息统计图，应用类型流量统计图，应用层协议流量统计图，主机流量</w:t>
            </w:r>
            <w:r>
              <w:rPr>
                <w:rStyle w:val="88"/>
                <w:rFonts w:ascii="宋体" w:hAnsi="宋体"/>
                <w:lang w:bidi="ar"/>
              </w:rPr>
              <w:t>Top10</w:t>
            </w:r>
            <w:r>
              <w:rPr>
                <w:rStyle w:val="89"/>
                <w:rFonts w:hint="default"/>
                <w:lang w:bidi="ar"/>
              </w:rPr>
              <w:t>图，传输层协议流量统计图，加密通道流量统计图，端口访问分布</w:t>
            </w:r>
            <w:r>
              <w:rPr>
                <w:rStyle w:val="88"/>
                <w:rFonts w:ascii="宋体" w:hAnsi="宋体"/>
                <w:lang w:bidi="ar"/>
              </w:rPr>
              <w:t>Top10</w:t>
            </w:r>
            <w:r>
              <w:rPr>
                <w:rStyle w:val="89"/>
                <w:rFonts w:hint="default"/>
                <w:lang w:bidi="ar"/>
              </w:rPr>
              <w:t>图，</w:t>
            </w:r>
            <w:r>
              <w:rPr>
                <w:rStyle w:val="88"/>
                <w:rFonts w:ascii="宋体" w:hAnsi="宋体"/>
                <w:lang w:bidi="ar"/>
              </w:rPr>
              <w:t>SSL</w:t>
            </w:r>
            <w:r>
              <w:rPr>
                <w:rStyle w:val="89"/>
                <w:rFonts w:hint="default"/>
                <w:lang w:bidi="ar"/>
              </w:rPr>
              <w:t>协议版本分布图，</w:t>
            </w:r>
            <w:r>
              <w:rPr>
                <w:rStyle w:val="88"/>
                <w:rFonts w:ascii="宋体" w:hAnsi="宋体"/>
                <w:lang w:bidi="ar"/>
              </w:rPr>
              <w:t>SSL</w:t>
            </w:r>
            <w:r>
              <w:rPr>
                <w:rStyle w:val="89"/>
                <w:rFonts w:hint="default"/>
                <w:lang w:bidi="ar"/>
              </w:rPr>
              <w:t>协议服务器主机标识</w:t>
            </w:r>
            <w:r>
              <w:rPr>
                <w:rStyle w:val="88"/>
                <w:rFonts w:ascii="宋体" w:hAnsi="宋体"/>
                <w:lang w:bidi="ar"/>
              </w:rPr>
              <w:t>(SNI)Top10</w:t>
            </w:r>
            <w:r>
              <w:rPr>
                <w:rStyle w:val="89"/>
                <w:rFonts w:hint="default"/>
                <w:lang w:bidi="ar"/>
              </w:rPr>
              <w:t>图 。支持自定义统计项范围。</w:t>
            </w:r>
          </w:p>
        </w:tc>
        <w:tc>
          <w:tcPr>
            <w:tcW w:w="731" w:type="pct"/>
            <w:vAlign w:val="center"/>
          </w:tcPr>
          <w:p w14:paraId="27A14044">
            <w:pPr>
              <w:jc w:val="center"/>
              <w:rPr>
                <w:rFonts w:hint="eastAsia"/>
                <w:sz w:val="21"/>
                <w:szCs w:val="21"/>
              </w:rPr>
            </w:pPr>
            <w:r>
              <w:rPr>
                <w:rFonts w:hint="eastAsia"/>
                <w:sz w:val="21"/>
                <w:szCs w:val="21"/>
              </w:rPr>
              <w:t>否</w:t>
            </w:r>
          </w:p>
        </w:tc>
      </w:tr>
      <w:tr w14:paraId="0419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30FC4A8E">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050B7CE5">
            <w:pPr>
              <w:jc w:val="center"/>
              <w:rPr>
                <w:rFonts w:hint="eastAsia"/>
                <w:sz w:val="21"/>
                <w:szCs w:val="21"/>
              </w:rPr>
            </w:pPr>
          </w:p>
        </w:tc>
        <w:tc>
          <w:tcPr>
            <w:tcW w:w="855" w:type="pct"/>
            <w:tcMar>
              <w:top w:w="8" w:type="dxa"/>
              <w:left w:w="8" w:type="dxa"/>
              <w:right w:w="8" w:type="dxa"/>
            </w:tcMar>
            <w:vAlign w:val="center"/>
          </w:tcPr>
          <w:p w14:paraId="62BA3128">
            <w:pPr>
              <w:rPr>
                <w:rFonts w:hint="eastAsia"/>
                <w:sz w:val="21"/>
                <w:szCs w:val="21"/>
              </w:rPr>
            </w:pPr>
            <w:r>
              <w:rPr>
                <w:rFonts w:hint="eastAsia"/>
                <w:color w:val="000000"/>
                <w:sz w:val="21"/>
                <w:szCs w:val="21"/>
                <w:lang w:bidi="ar"/>
              </w:rPr>
              <w:t>漏洞分析与封堵策略</w:t>
            </w:r>
          </w:p>
        </w:tc>
        <w:tc>
          <w:tcPr>
            <w:tcW w:w="2649" w:type="pct"/>
            <w:tcMar>
              <w:top w:w="8" w:type="dxa"/>
              <w:left w:w="8" w:type="dxa"/>
              <w:right w:w="8" w:type="dxa"/>
            </w:tcMar>
            <w:vAlign w:val="center"/>
          </w:tcPr>
          <w:p w14:paraId="6B281F3B">
            <w:pPr>
              <w:rPr>
                <w:rFonts w:hint="eastAsia"/>
                <w:sz w:val="21"/>
                <w:szCs w:val="21"/>
              </w:rPr>
            </w:pPr>
            <w:r>
              <w:rPr>
                <w:rStyle w:val="89"/>
                <w:rFonts w:hint="default"/>
                <w:lang w:bidi="ar"/>
              </w:rPr>
              <w:t>支持对已导入漏洞进行智能分析，生成待屏蔽的漏洞范围，提供可灵活的一键封堵策略，包含但不限于：全局一键自动封堵、单主机下单个或多个漏洞一键封堵、单漏洞下单个或多个主机资产一键封堵等。</w:t>
            </w:r>
          </w:p>
        </w:tc>
        <w:tc>
          <w:tcPr>
            <w:tcW w:w="731" w:type="pct"/>
            <w:vAlign w:val="center"/>
          </w:tcPr>
          <w:p w14:paraId="18538C21">
            <w:pPr>
              <w:jc w:val="center"/>
              <w:rPr>
                <w:rFonts w:hint="eastAsia"/>
                <w:sz w:val="21"/>
                <w:szCs w:val="21"/>
              </w:rPr>
            </w:pPr>
            <w:r>
              <w:rPr>
                <w:rFonts w:hint="eastAsia"/>
                <w:sz w:val="21"/>
                <w:szCs w:val="21"/>
              </w:rPr>
              <w:t>否</w:t>
            </w:r>
          </w:p>
        </w:tc>
      </w:tr>
      <w:tr w14:paraId="7593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138D37E8">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191369D4">
            <w:pPr>
              <w:jc w:val="center"/>
              <w:rPr>
                <w:rFonts w:hint="eastAsia"/>
                <w:sz w:val="21"/>
                <w:szCs w:val="21"/>
              </w:rPr>
            </w:pPr>
          </w:p>
        </w:tc>
        <w:tc>
          <w:tcPr>
            <w:tcW w:w="855" w:type="pct"/>
            <w:tcMar>
              <w:top w:w="8" w:type="dxa"/>
              <w:left w:w="8" w:type="dxa"/>
              <w:right w:w="8" w:type="dxa"/>
            </w:tcMar>
            <w:vAlign w:val="center"/>
          </w:tcPr>
          <w:p w14:paraId="0A1A87C9">
            <w:pPr>
              <w:rPr>
                <w:rFonts w:hint="eastAsia"/>
                <w:sz w:val="21"/>
                <w:szCs w:val="21"/>
              </w:rPr>
            </w:pPr>
            <w:r>
              <w:rPr>
                <w:rFonts w:hint="eastAsia"/>
                <w:color w:val="000000"/>
                <w:sz w:val="21"/>
                <w:szCs w:val="21"/>
                <w:lang w:bidi="ar"/>
              </w:rPr>
              <w:t>漏洞关联分析</w:t>
            </w:r>
          </w:p>
        </w:tc>
        <w:tc>
          <w:tcPr>
            <w:tcW w:w="2649" w:type="pct"/>
            <w:tcMar>
              <w:top w:w="8" w:type="dxa"/>
              <w:left w:w="8" w:type="dxa"/>
              <w:right w:w="8" w:type="dxa"/>
            </w:tcMar>
            <w:vAlign w:val="center"/>
          </w:tcPr>
          <w:p w14:paraId="0D7D4A50">
            <w:pPr>
              <w:rPr>
                <w:rFonts w:hint="eastAsia"/>
                <w:sz w:val="21"/>
                <w:szCs w:val="21"/>
              </w:rPr>
            </w:pPr>
            <w:r>
              <w:rPr>
                <w:rStyle w:val="89"/>
                <w:rFonts w:hint="default"/>
                <w:lang w:bidi="ar"/>
              </w:rPr>
              <w:t>事件详情展示，关联漏洞维度支持展示漏洞详情，字段包括但不限于漏洞名称、漏洞来源、危险插件、发现日期、发布日期、脆弱性值、</w:t>
            </w:r>
            <w:r>
              <w:rPr>
                <w:rStyle w:val="88"/>
                <w:rFonts w:ascii="宋体" w:hAnsi="宋体"/>
                <w:lang w:bidi="ar"/>
              </w:rPr>
              <w:t>CVE</w:t>
            </w:r>
            <w:r>
              <w:rPr>
                <w:rStyle w:val="89"/>
                <w:rFonts w:hint="default"/>
                <w:lang w:bidi="ar"/>
              </w:rPr>
              <w:t>编号、</w:t>
            </w:r>
            <w:r>
              <w:rPr>
                <w:rStyle w:val="88"/>
                <w:rFonts w:ascii="宋体" w:hAnsi="宋体"/>
                <w:lang w:bidi="ar"/>
              </w:rPr>
              <w:t>CNNVD</w:t>
            </w:r>
            <w:r>
              <w:rPr>
                <w:rStyle w:val="89"/>
                <w:rFonts w:hint="default"/>
                <w:lang w:bidi="ar"/>
              </w:rPr>
              <w:t>编号、</w:t>
            </w:r>
            <w:r>
              <w:rPr>
                <w:rStyle w:val="88"/>
                <w:rFonts w:ascii="宋体" w:hAnsi="宋体"/>
                <w:lang w:bidi="ar"/>
              </w:rPr>
              <w:t>CNCVE</w:t>
            </w:r>
            <w:r>
              <w:rPr>
                <w:rStyle w:val="89"/>
                <w:rFonts w:hint="default"/>
                <w:lang w:bidi="ar"/>
              </w:rPr>
              <w:t>编号、</w:t>
            </w:r>
            <w:r>
              <w:rPr>
                <w:rStyle w:val="88"/>
                <w:rFonts w:ascii="宋体" w:hAnsi="宋体"/>
                <w:lang w:bidi="ar"/>
              </w:rPr>
              <w:t>BUGTRAQ</w:t>
            </w:r>
            <w:r>
              <w:rPr>
                <w:rStyle w:val="89"/>
                <w:rFonts w:hint="default"/>
                <w:lang w:bidi="ar"/>
              </w:rPr>
              <w:t>、</w:t>
            </w:r>
            <w:r>
              <w:rPr>
                <w:rStyle w:val="88"/>
                <w:rFonts w:ascii="宋体" w:hAnsi="宋体"/>
                <w:lang w:bidi="ar"/>
              </w:rPr>
              <w:t>CVSS</w:t>
            </w:r>
            <w:r>
              <w:rPr>
                <w:rStyle w:val="89"/>
                <w:rFonts w:hint="default"/>
                <w:lang w:bidi="ar"/>
              </w:rPr>
              <w:t>评分、</w:t>
            </w:r>
            <w:r>
              <w:rPr>
                <w:rStyle w:val="88"/>
                <w:rFonts w:ascii="宋体" w:hAnsi="宋体"/>
                <w:lang w:bidi="ar"/>
              </w:rPr>
              <w:t>CNVD</w:t>
            </w:r>
            <w:r>
              <w:rPr>
                <w:rStyle w:val="89"/>
                <w:rFonts w:hint="default"/>
                <w:lang w:bidi="ar"/>
              </w:rPr>
              <w:t>编码、详情描述、解决方案</w:t>
            </w:r>
            <w:bookmarkStart w:id="1859" w:name="OLE_LINK64"/>
            <w:r>
              <w:rPr>
                <w:rStyle w:val="89"/>
                <w:rFonts w:hint="default"/>
                <w:lang w:bidi="ar"/>
              </w:rPr>
              <w:t>（提供功能截图证明）</w:t>
            </w:r>
            <w:bookmarkEnd w:id="1859"/>
            <w:r>
              <w:rPr>
                <w:rStyle w:val="89"/>
                <w:rFonts w:hint="default"/>
                <w:lang w:bidi="ar"/>
              </w:rPr>
              <w:t>。</w:t>
            </w:r>
          </w:p>
        </w:tc>
        <w:tc>
          <w:tcPr>
            <w:tcW w:w="731" w:type="pct"/>
            <w:vAlign w:val="center"/>
          </w:tcPr>
          <w:p w14:paraId="498F171D">
            <w:pPr>
              <w:jc w:val="center"/>
              <w:rPr>
                <w:rFonts w:hint="eastAsia"/>
                <w:sz w:val="21"/>
                <w:szCs w:val="21"/>
              </w:rPr>
            </w:pPr>
            <w:r>
              <w:rPr>
                <w:rFonts w:hint="eastAsia"/>
                <w:sz w:val="21"/>
                <w:szCs w:val="21"/>
              </w:rPr>
              <w:t>是</w:t>
            </w:r>
          </w:p>
        </w:tc>
      </w:tr>
      <w:tr w14:paraId="0820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645B3478">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0F341FB1">
            <w:pPr>
              <w:jc w:val="center"/>
              <w:rPr>
                <w:rFonts w:hint="eastAsia"/>
                <w:sz w:val="21"/>
                <w:szCs w:val="21"/>
              </w:rPr>
            </w:pPr>
          </w:p>
        </w:tc>
        <w:tc>
          <w:tcPr>
            <w:tcW w:w="855" w:type="pct"/>
            <w:tcMar>
              <w:top w:w="8" w:type="dxa"/>
              <w:left w:w="8" w:type="dxa"/>
              <w:right w:w="8" w:type="dxa"/>
            </w:tcMar>
            <w:vAlign w:val="center"/>
          </w:tcPr>
          <w:p w14:paraId="7331CF3D">
            <w:pPr>
              <w:rPr>
                <w:rFonts w:hint="eastAsia"/>
                <w:color w:val="000000"/>
                <w:sz w:val="21"/>
                <w:szCs w:val="21"/>
                <w:lang w:bidi="ar"/>
              </w:rPr>
            </w:pPr>
            <w:r>
              <w:rPr>
                <w:rFonts w:hint="eastAsia"/>
                <w:color w:val="000000"/>
                <w:sz w:val="21"/>
                <w:szCs w:val="21"/>
              </w:rPr>
              <w:t>漏洞展示</w:t>
            </w:r>
          </w:p>
        </w:tc>
        <w:tc>
          <w:tcPr>
            <w:tcW w:w="2649" w:type="pct"/>
            <w:tcMar>
              <w:top w:w="8" w:type="dxa"/>
              <w:left w:w="8" w:type="dxa"/>
              <w:right w:w="8" w:type="dxa"/>
            </w:tcMar>
            <w:vAlign w:val="center"/>
          </w:tcPr>
          <w:p w14:paraId="5DD46666">
            <w:pPr>
              <w:rPr>
                <w:rStyle w:val="88"/>
                <w:rFonts w:hint="eastAsia" w:ascii="宋体" w:hAnsi="宋体"/>
                <w:lang w:bidi="ar"/>
              </w:rPr>
            </w:pPr>
            <w:r>
              <w:rPr>
                <w:rStyle w:val="89"/>
                <w:rFonts w:hint="default"/>
                <w:lang w:bidi="ar"/>
              </w:rPr>
              <w:t>支持导入扫描器漏洞扫描报告，可基于漏洞视角与资产视角查看已扫描漏洞信息，包含但不限于：漏洞名称、详情描述、漏洞来源、漏洞等级、发现日期、发布日期、解决办法、威胁分值、</w:t>
            </w:r>
            <w:r>
              <w:rPr>
                <w:rStyle w:val="88"/>
                <w:rFonts w:ascii="宋体" w:hAnsi="宋体"/>
                <w:lang w:bidi="ar"/>
              </w:rPr>
              <w:t>CVE</w:t>
            </w:r>
            <w:r>
              <w:rPr>
                <w:rStyle w:val="89"/>
                <w:rFonts w:hint="default"/>
                <w:lang w:bidi="ar"/>
              </w:rPr>
              <w:t>编号、</w:t>
            </w:r>
            <w:r>
              <w:rPr>
                <w:rStyle w:val="88"/>
                <w:rFonts w:ascii="宋体" w:hAnsi="宋体"/>
                <w:lang w:bidi="ar"/>
              </w:rPr>
              <w:t>CNNVD</w:t>
            </w:r>
            <w:r>
              <w:rPr>
                <w:rStyle w:val="89"/>
                <w:rFonts w:hint="default"/>
                <w:lang w:bidi="ar"/>
              </w:rPr>
              <w:t>编号、</w:t>
            </w:r>
            <w:r>
              <w:rPr>
                <w:rStyle w:val="88"/>
                <w:rFonts w:ascii="宋体" w:hAnsi="宋体"/>
                <w:lang w:bidi="ar"/>
              </w:rPr>
              <w:t>CNCVE</w:t>
            </w:r>
            <w:r>
              <w:rPr>
                <w:rStyle w:val="89"/>
                <w:rFonts w:hint="default"/>
                <w:lang w:bidi="ar"/>
              </w:rPr>
              <w:t>编号、</w:t>
            </w:r>
            <w:r>
              <w:rPr>
                <w:rStyle w:val="88"/>
                <w:rFonts w:ascii="宋体" w:hAnsi="宋体"/>
                <w:lang w:bidi="ar"/>
              </w:rPr>
              <w:t>CVSS</w:t>
            </w:r>
            <w:r>
              <w:rPr>
                <w:rStyle w:val="89"/>
                <w:rFonts w:hint="default"/>
                <w:lang w:bidi="ar"/>
              </w:rPr>
              <w:t>分值等（提供功能截图证明）。</w:t>
            </w:r>
          </w:p>
        </w:tc>
        <w:tc>
          <w:tcPr>
            <w:tcW w:w="731" w:type="pct"/>
            <w:vAlign w:val="center"/>
          </w:tcPr>
          <w:p w14:paraId="312F71F9">
            <w:pPr>
              <w:jc w:val="center"/>
              <w:rPr>
                <w:rFonts w:hint="eastAsia"/>
                <w:sz w:val="21"/>
                <w:szCs w:val="21"/>
              </w:rPr>
            </w:pPr>
            <w:r>
              <w:rPr>
                <w:rFonts w:hint="eastAsia"/>
                <w:sz w:val="21"/>
                <w:szCs w:val="21"/>
              </w:rPr>
              <w:t>是</w:t>
            </w:r>
          </w:p>
        </w:tc>
      </w:tr>
      <w:tr w14:paraId="46E6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06BED83C">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31CF4B80">
            <w:pPr>
              <w:jc w:val="center"/>
              <w:rPr>
                <w:rFonts w:hint="eastAsia"/>
                <w:sz w:val="21"/>
                <w:szCs w:val="21"/>
              </w:rPr>
            </w:pPr>
          </w:p>
        </w:tc>
        <w:tc>
          <w:tcPr>
            <w:tcW w:w="855" w:type="pct"/>
            <w:tcMar>
              <w:top w:w="8" w:type="dxa"/>
              <w:left w:w="8" w:type="dxa"/>
              <w:right w:w="8" w:type="dxa"/>
            </w:tcMar>
            <w:vAlign w:val="center"/>
          </w:tcPr>
          <w:p w14:paraId="3A2DC4FC">
            <w:pPr>
              <w:rPr>
                <w:rFonts w:hint="eastAsia"/>
                <w:color w:val="000000"/>
                <w:sz w:val="21"/>
                <w:szCs w:val="21"/>
              </w:rPr>
            </w:pPr>
            <w:r>
              <w:rPr>
                <w:rFonts w:hint="eastAsia"/>
                <w:color w:val="000000"/>
                <w:sz w:val="21"/>
                <w:szCs w:val="21"/>
                <w:lang w:bidi="ar"/>
              </w:rPr>
              <w:t>漏洞查询</w:t>
            </w:r>
          </w:p>
        </w:tc>
        <w:tc>
          <w:tcPr>
            <w:tcW w:w="2649" w:type="pct"/>
            <w:tcMar>
              <w:top w:w="8" w:type="dxa"/>
              <w:left w:w="8" w:type="dxa"/>
              <w:right w:w="8" w:type="dxa"/>
            </w:tcMar>
            <w:vAlign w:val="center"/>
          </w:tcPr>
          <w:p w14:paraId="121515E5">
            <w:pPr>
              <w:rPr>
                <w:rStyle w:val="88"/>
                <w:rFonts w:hint="eastAsia" w:ascii="宋体" w:hAnsi="宋体"/>
                <w:lang w:bidi="ar"/>
              </w:rPr>
            </w:pPr>
            <w:r>
              <w:rPr>
                <w:rStyle w:val="89"/>
                <w:rFonts w:hint="default"/>
                <w:lang w:bidi="ar"/>
              </w:rPr>
              <w:t>支持对已导入漏洞信息提供过滤与查询能力，过滤方法至少支持包含和不包含、查询条件包含但不限于：漏洞名称、漏洞编号、漏洞等级和漏洞状态等。</w:t>
            </w:r>
          </w:p>
        </w:tc>
        <w:tc>
          <w:tcPr>
            <w:tcW w:w="731" w:type="pct"/>
            <w:vAlign w:val="center"/>
          </w:tcPr>
          <w:p w14:paraId="38B0C678">
            <w:pPr>
              <w:jc w:val="center"/>
              <w:rPr>
                <w:rFonts w:hint="eastAsia"/>
                <w:sz w:val="21"/>
                <w:szCs w:val="21"/>
              </w:rPr>
            </w:pPr>
            <w:r>
              <w:rPr>
                <w:rFonts w:hint="eastAsia"/>
                <w:sz w:val="21"/>
                <w:szCs w:val="21"/>
              </w:rPr>
              <w:t>否</w:t>
            </w:r>
          </w:p>
        </w:tc>
      </w:tr>
      <w:tr w14:paraId="3AA0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52C451F2">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43F1FA59">
            <w:pPr>
              <w:jc w:val="center"/>
              <w:rPr>
                <w:rFonts w:hint="eastAsia"/>
                <w:sz w:val="21"/>
                <w:szCs w:val="21"/>
              </w:rPr>
            </w:pPr>
          </w:p>
        </w:tc>
        <w:tc>
          <w:tcPr>
            <w:tcW w:w="855" w:type="pct"/>
            <w:tcMar>
              <w:top w:w="8" w:type="dxa"/>
              <w:left w:w="8" w:type="dxa"/>
              <w:right w:w="8" w:type="dxa"/>
            </w:tcMar>
            <w:vAlign w:val="center"/>
          </w:tcPr>
          <w:p w14:paraId="3D95FA88">
            <w:pPr>
              <w:rPr>
                <w:rFonts w:hint="eastAsia"/>
                <w:color w:val="000000"/>
                <w:sz w:val="21"/>
                <w:szCs w:val="21"/>
              </w:rPr>
            </w:pPr>
            <w:r>
              <w:rPr>
                <w:rFonts w:hint="eastAsia"/>
                <w:color w:val="000000"/>
                <w:sz w:val="21"/>
                <w:szCs w:val="21"/>
                <w:lang w:bidi="ar"/>
              </w:rPr>
              <w:t>漏洞统计</w:t>
            </w:r>
          </w:p>
        </w:tc>
        <w:tc>
          <w:tcPr>
            <w:tcW w:w="2649" w:type="pct"/>
            <w:tcMar>
              <w:top w:w="8" w:type="dxa"/>
              <w:left w:w="8" w:type="dxa"/>
              <w:right w:w="8" w:type="dxa"/>
            </w:tcMar>
            <w:vAlign w:val="center"/>
          </w:tcPr>
          <w:p w14:paraId="7F0325EB">
            <w:pPr>
              <w:rPr>
                <w:rStyle w:val="88"/>
                <w:rFonts w:hint="eastAsia" w:ascii="宋体" w:hAnsi="宋体"/>
                <w:lang w:bidi="ar"/>
              </w:rPr>
            </w:pPr>
            <w:r>
              <w:rPr>
                <w:rStyle w:val="89"/>
                <w:rFonts w:hint="default"/>
                <w:lang w:bidi="ar"/>
              </w:rPr>
              <w:t>支持针对当前已导入漏洞的防护情况进行统计分析，包含但不限于：漏洞总数、影响资产数、高</w:t>
            </w:r>
            <w:r>
              <w:rPr>
                <w:rStyle w:val="88"/>
                <w:rFonts w:ascii="宋体" w:hAnsi="宋体"/>
                <w:lang w:bidi="ar"/>
              </w:rPr>
              <w:t>/</w:t>
            </w:r>
            <w:r>
              <w:rPr>
                <w:rStyle w:val="89"/>
                <w:rFonts w:hint="default"/>
                <w:lang w:bidi="ar"/>
              </w:rPr>
              <w:t>中</w:t>
            </w:r>
            <w:r>
              <w:rPr>
                <w:rStyle w:val="88"/>
                <w:rFonts w:ascii="宋体" w:hAnsi="宋体"/>
                <w:lang w:bidi="ar"/>
              </w:rPr>
              <w:t>/</w:t>
            </w:r>
            <w:r>
              <w:rPr>
                <w:rStyle w:val="89"/>
                <w:rFonts w:hint="default"/>
                <w:lang w:bidi="ar"/>
              </w:rPr>
              <w:t>低三种漏洞数目、处置状态（未封堵和已封堵漏洞数）等（提供功能截图证明）。</w:t>
            </w:r>
          </w:p>
        </w:tc>
        <w:tc>
          <w:tcPr>
            <w:tcW w:w="731" w:type="pct"/>
            <w:vAlign w:val="center"/>
          </w:tcPr>
          <w:p w14:paraId="1D561321">
            <w:pPr>
              <w:jc w:val="center"/>
              <w:rPr>
                <w:rFonts w:hint="eastAsia"/>
                <w:sz w:val="21"/>
                <w:szCs w:val="21"/>
              </w:rPr>
            </w:pPr>
            <w:r>
              <w:rPr>
                <w:rFonts w:hint="eastAsia"/>
                <w:sz w:val="21"/>
                <w:szCs w:val="21"/>
              </w:rPr>
              <w:t>是</w:t>
            </w:r>
          </w:p>
        </w:tc>
      </w:tr>
      <w:tr w14:paraId="32BB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5B22B93F">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71068B8E">
            <w:pPr>
              <w:jc w:val="center"/>
              <w:rPr>
                <w:rFonts w:hint="eastAsia"/>
                <w:sz w:val="21"/>
                <w:szCs w:val="21"/>
              </w:rPr>
            </w:pPr>
            <w:r>
              <w:rPr>
                <w:rFonts w:hint="eastAsia"/>
                <w:sz w:val="21"/>
                <w:szCs w:val="21"/>
              </w:rPr>
              <w:t>#</w:t>
            </w:r>
          </w:p>
        </w:tc>
        <w:tc>
          <w:tcPr>
            <w:tcW w:w="855" w:type="pct"/>
            <w:tcMar>
              <w:top w:w="8" w:type="dxa"/>
              <w:left w:w="8" w:type="dxa"/>
              <w:right w:w="8" w:type="dxa"/>
            </w:tcMar>
            <w:vAlign w:val="center"/>
          </w:tcPr>
          <w:p w14:paraId="7997D3CF">
            <w:pPr>
              <w:rPr>
                <w:rFonts w:hint="eastAsia"/>
                <w:color w:val="000000"/>
                <w:sz w:val="21"/>
                <w:szCs w:val="21"/>
              </w:rPr>
            </w:pPr>
            <w:bookmarkStart w:id="1860" w:name="OLE_LINK81"/>
            <w:r>
              <w:rPr>
                <w:rFonts w:hint="eastAsia"/>
                <w:color w:val="000000"/>
                <w:sz w:val="21"/>
                <w:szCs w:val="21"/>
                <w:lang w:bidi="ar"/>
              </w:rPr>
              <w:t>漏洞攻击扩展检测</w:t>
            </w:r>
            <w:bookmarkEnd w:id="1860"/>
          </w:p>
        </w:tc>
        <w:tc>
          <w:tcPr>
            <w:tcW w:w="2649" w:type="pct"/>
            <w:tcMar>
              <w:top w:w="8" w:type="dxa"/>
              <w:left w:w="8" w:type="dxa"/>
              <w:right w:w="8" w:type="dxa"/>
            </w:tcMar>
            <w:vAlign w:val="center"/>
          </w:tcPr>
          <w:p w14:paraId="1433ED5C">
            <w:pPr>
              <w:rPr>
                <w:rStyle w:val="88"/>
                <w:rFonts w:hint="eastAsia" w:ascii="宋体" w:hAnsi="宋体"/>
                <w:lang w:bidi="ar"/>
              </w:rPr>
            </w:pPr>
            <w:r>
              <w:rPr>
                <w:rFonts w:hint="eastAsia"/>
                <w:color w:val="000000"/>
                <w:sz w:val="21"/>
                <w:szCs w:val="21"/>
                <w:lang w:bidi="ar"/>
              </w:rPr>
              <w:t>内置有监督机器学习模型，支持对冰蝎、哥斯拉、蚁剑等webshell加密通信进行识别和发现（提供含CNAS标识的三方功能检测报告）</w:t>
            </w:r>
          </w:p>
        </w:tc>
        <w:tc>
          <w:tcPr>
            <w:tcW w:w="731" w:type="pct"/>
            <w:vAlign w:val="center"/>
          </w:tcPr>
          <w:p w14:paraId="683A3D68">
            <w:pPr>
              <w:jc w:val="center"/>
              <w:rPr>
                <w:rFonts w:hint="eastAsia"/>
                <w:sz w:val="21"/>
                <w:szCs w:val="21"/>
              </w:rPr>
            </w:pPr>
            <w:r>
              <w:rPr>
                <w:rFonts w:hint="eastAsia"/>
                <w:sz w:val="21"/>
                <w:szCs w:val="21"/>
              </w:rPr>
              <w:t>是</w:t>
            </w:r>
          </w:p>
        </w:tc>
      </w:tr>
      <w:tr w14:paraId="3E01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18B26535">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6F68BF89">
            <w:pPr>
              <w:jc w:val="center"/>
              <w:rPr>
                <w:rFonts w:hint="eastAsia"/>
                <w:sz w:val="21"/>
                <w:szCs w:val="21"/>
              </w:rPr>
            </w:pPr>
          </w:p>
        </w:tc>
        <w:tc>
          <w:tcPr>
            <w:tcW w:w="855" w:type="pct"/>
            <w:vMerge w:val="restart"/>
            <w:tcMar>
              <w:top w:w="8" w:type="dxa"/>
              <w:left w:w="8" w:type="dxa"/>
              <w:right w:w="8" w:type="dxa"/>
            </w:tcMar>
            <w:vAlign w:val="center"/>
          </w:tcPr>
          <w:p w14:paraId="2D533653">
            <w:pPr>
              <w:rPr>
                <w:rFonts w:hint="eastAsia"/>
                <w:color w:val="000000"/>
                <w:sz w:val="21"/>
                <w:szCs w:val="21"/>
                <w:lang w:bidi="ar"/>
              </w:rPr>
            </w:pPr>
            <w:r>
              <w:rPr>
                <w:rFonts w:hint="eastAsia"/>
                <w:color w:val="000000"/>
                <w:sz w:val="21"/>
                <w:szCs w:val="21"/>
                <w:lang w:bidi="ar"/>
              </w:rPr>
              <w:t>产品认证</w:t>
            </w:r>
          </w:p>
        </w:tc>
        <w:tc>
          <w:tcPr>
            <w:tcW w:w="2649" w:type="pct"/>
            <w:tcMar>
              <w:top w:w="8" w:type="dxa"/>
              <w:left w:w="8" w:type="dxa"/>
              <w:right w:w="8" w:type="dxa"/>
            </w:tcMar>
            <w:vAlign w:val="center"/>
          </w:tcPr>
          <w:p w14:paraId="7108DFDB">
            <w:pPr>
              <w:rPr>
                <w:rFonts w:hint="eastAsia"/>
                <w:color w:val="000000"/>
                <w:sz w:val="21"/>
                <w:szCs w:val="21"/>
                <w:lang w:bidi="ar"/>
              </w:rPr>
            </w:pPr>
            <w:r>
              <w:rPr>
                <w:rStyle w:val="89"/>
                <w:rFonts w:hint="default"/>
                <w:lang w:bidi="ar"/>
              </w:rPr>
              <w:t>产品应具备《信通院</w:t>
            </w:r>
            <w:r>
              <w:rPr>
                <w:rStyle w:val="88"/>
                <w:rFonts w:ascii="宋体" w:hAnsi="宋体"/>
                <w:lang w:bidi="ar"/>
              </w:rPr>
              <w:t>-</w:t>
            </w:r>
            <w:r>
              <w:rPr>
                <w:rStyle w:val="89"/>
                <w:rFonts w:hint="default"/>
                <w:lang w:bidi="ar"/>
              </w:rPr>
              <w:t>网络空间资产管理检验证书》（提供证书复印件）。</w:t>
            </w:r>
          </w:p>
        </w:tc>
        <w:tc>
          <w:tcPr>
            <w:tcW w:w="731" w:type="pct"/>
            <w:vAlign w:val="center"/>
          </w:tcPr>
          <w:p w14:paraId="29DA3298">
            <w:pPr>
              <w:jc w:val="center"/>
              <w:rPr>
                <w:rFonts w:hint="eastAsia"/>
                <w:sz w:val="21"/>
                <w:szCs w:val="21"/>
              </w:rPr>
            </w:pPr>
            <w:r>
              <w:rPr>
                <w:rFonts w:hint="eastAsia"/>
                <w:sz w:val="21"/>
                <w:szCs w:val="21"/>
              </w:rPr>
              <w:t>是</w:t>
            </w:r>
          </w:p>
        </w:tc>
      </w:tr>
      <w:tr w14:paraId="6A26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412AEDF9">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3B866A8A">
            <w:pPr>
              <w:jc w:val="center"/>
              <w:rPr>
                <w:rFonts w:hint="eastAsia"/>
                <w:sz w:val="21"/>
                <w:szCs w:val="21"/>
              </w:rPr>
            </w:pPr>
          </w:p>
        </w:tc>
        <w:tc>
          <w:tcPr>
            <w:tcW w:w="855" w:type="pct"/>
            <w:vMerge w:val="continue"/>
            <w:tcMar>
              <w:top w:w="8" w:type="dxa"/>
              <w:left w:w="8" w:type="dxa"/>
              <w:right w:w="8" w:type="dxa"/>
            </w:tcMar>
            <w:vAlign w:val="center"/>
          </w:tcPr>
          <w:p w14:paraId="41432D38">
            <w:pPr>
              <w:rPr>
                <w:rFonts w:hint="eastAsia"/>
                <w:color w:val="000000"/>
                <w:sz w:val="21"/>
                <w:szCs w:val="21"/>
                <w:lang w:bidi="ar"/>
              </w:rPr>
            </w:pPr>
          </w:p>
        </w:tc>
        <w:tc>
          <w:tcPr>
            <w:tcW w:w="2649" w:type="pct"/>
            <w:tcMar>
              <w:top w:w="8" w:type="dxa"/>
              <w:left w:w="8" w:type="dxa"/>
              <w:right w:w="8" w:type="dxa"/>
            </w:tcMar>
            <w:vAlign w:val="center"/>
          </w:tcPr>
          <w:p w14:paraId="605CA3CF">
            <w:pPr>
              <w:rPr>
                <w:rFonts w:hint="eastAsia"/>
                <w:color w:val="000000"/>
                <w:sz w:val="21"/>
                <w:szCs w:val="21"/>
                <w:lang w:bidi="ar"/>
              </w:rPr>
            </w:pPr>
            <w:r>
              <w:rPr>
                <w:rStyle w:val="89"/>
                <w:rFonts w:hint="default"/>
                <w:lang w:bidi="ar"/>
              </w:rPr>
              <w:t>产品应该是被广泛应用的成熟产品，在国内市场具有较高的市场份额，近四年市场占有率排名至少有</w:t>
            </w:r>
            <w:r>
              <w:rPr>
                <w:rStyle w:val="88"/>
                <w:rFonts w:ascii="宋体" w:hAnsi="宋体"/>
                <w:lang w:bidi="ar"/>
              </w:rPr>
              <w:t>1</w:t>
            </w:r>
            <w:r>
              <w:rPr>
                <w:rStyle w:val="89"/>
                <w:rFonts w:hint="default"/>
                <w:lang w:bidi="ar"/>
              </w:rPr>
              <w:t>年应不低于前</w:t>
            </w:r>
            <w:r>
              <w:rPr>
                <w:rStyle w:val="88"/>
                <w:rFonts w:ascii="宋体" w:hAnsi="宋体"/>
                <w:lang w:bidi="ar"/>
              </w:rPr>
              <w:t>2</w:t>
            </w:r>
            <w:r>
              <w:rPr>
                <w:rStyle w:val="89"/>
                <w:rFonts w:hint="default"/>
                <w:lang w:bidi="ar"/>
              </w:rPr>
              <w:t>名。【须提供知名第三方机构</w:t>
            </w:r>
            <w:r>
              <w:rPr>
                <w:rStyle w:val="88"/>
                <w:rFonts w:ascii="宋体" w:hAnsi="宋体"/>
                <w:lang w:bidi="ar"/>
              </w:rPr>
              <w:t>(</w:t>
            </w:r>
            <w:r>
              <w:rPr>
                <w:rStyle w:val="89"/>
                <w:rFonts w:hint="default"/>
                <w:lang w:bidi="ar"/>
              </w:rPr>
              <w:t>如</w:t>
            </w:r>
            <w:r>
              <w:rPr>
                <w:rStyle w:val="88"/>
                <w:rFonts w:ascii="宋体" w:hAnsi="宋体"/>
                <w:lang w:bidi="ar"/>
              </w:rPr>
              <w:t>IDC)</w:t>
            </w:r>
            <w:r>
              <w:rPr>
                <w:rStyle w:val="89"/>
                <w:rFonts w:hint="default"/>
                <w:lang w:bidi="ar"/>
              </w:rPr>
              <w:t>出具的市场占有率排名有效证明材料】。</w:t>
            </w:r>
          </w:p>
        </w:tc>
        <w:tc>
          <w:tcPr>
            <w:tcW w:w="731" w:type="pct"/>
            <w:vAlign w:val="center"/>
          </w:tcPr>
          <w:p w14:paraId="733F8748">
            <w:pPr>
              <w:jc w:val="center"/>
              <w:rPr>
                <w:rFonts w:hint="eastAsia"/>
                <w:sz w:val="21"/>
                <w:szCs w:val="21"/>
              </w:rPr>
            </w:pPr>
            <w:r>
              <w:rPr>
                <w:rFonts w:hint="eastAsia"/>
                <w:sz w:val="21"/>
                <w:szCs w:val="21"/>
              </w:rPr>
              <w:t>是</w:t>
            </w:r>
          </w:p>
        </w:tc>
      </w:tr>
      <w:tr w14:paraId="5279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787D6341">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00041B0D">
            <w:pPr>
              <w:jc w:val="center"/>
              <w:rPr>
                <w:rFonts w:hint="eastAsia"/>
                <w:sz w:val="21"/>
                <w:szCs w:val="21"/>
              </w:rPr>
            </w:pPr>
          </w:p>
        </w:tc>
        <w:tc>
          <w:tcPr>
            <w:tcW w:w="855" w:type="pct"/>
            <w:tcMar>
              <w:top w:w="8" w:type="dxa"/>
              <w:left w:w="8" w:type="dxa"/>
              <w:right w:w="8" w:type="dxa"/>
            </w:tcMar>
            <w:vAlign w:val="center"/>
          </w:tcPr>
          <w:p w14:paraId="136EDAEB">
            <w:pPr>
              <w:rPr>
                <w:rFonts w:hint="eastAsia"/>
                <w:color w:val="000000"/>
                <w:sz w:val="21"/>
                <w:szCs w:val="21"/>
                <w:lang w:bidi="ar"/>
              </w:rPr>
            </w:pPr>
            <w:r>
              <w:rPr>
                <w:rFonts w:hint="eastAsia"/>
                <w:color w:val="000000"/>
                <w:sz w:val="21"/>
                <w:szCs w:val="21"/>
                <w:lang w:bidi="ar"/>
              </w:rPr>
              <w:t>设备制造商认证</w:t>
            </w:r>
          </w:p>
        </w:tc>
        <w:tc>
          <w:tcPr>
            <w:tcW w:w="2649" w:type="pct"/>
            <w:tcMar>
              <w:top w:w="8" w:type="dxa"/>
              <w:left w:w="8" w:type="dxa"/>
              <w:right w:w="8" w:type="dxa"/>
            </w:tcMar>
            <w:vAlign w:val="center"/>
          </w:tcPr>
          <w:p w14:paraId="4853A48D">
            <w:pPr>
              <w:rPr>
                <w:rFonts w:hint="eastAsia"/>
                <w:color w:val="000000"/>
                <w:sz w:val="21"/>
                <w:szCs w:val="21"/>
                <w:lang w:bidi="ar"/>
              </w:rPr>
            </w:pPr>
            <w:r>
              <w:t>在信息系统建设和服务方面设备制造商应具备较高的能力水平，应具备《信息系统建设和服务能力评估资质资质证书-优秀级》</w:t>
            </w:r>
            <w:r>
              <w:rPr>
                <w:rFonts w:hint="eastAsia"/>
              </w:rPr>
              <w:t>（</w:t>
            </w:r>
            <w:r>
              <w:t>提供证书复印件</w:t>
            </w:r>
            <w:r>
              <w:rPr>
                <w:rFonts w:hint="eastAsia"/>
              </w:rPr>
              <w:t>）</w:t>
            </w:r>
            <w:r>
              <w:t>。</w:t>
            </w:r>
          </w:p>
        </w:tc>
        <w:tc>
          <w:tcPr>
            <w:tcW w:w="731" w:type="pct"/>
            <w:vAlign w:val="center"/>
          </w:tcPr>
          <w:p w14:paraId="5273DE11">
            <w:pPr>
              <w:jc w:val="center"/>
              <w:rPr>
                <w:rFonts w:hint="eastAsia"/>
                <w:sz w:val="21"/>
                <w:szCs w:val="21"/>
              </w:rPr>
            </w:pPr>
            <w:bookmarkStart w:id="1861" w:name="OLE_LINK71"/>
            <w:r>
              <w:rPr>
                <w:rFonts w:hint="eastAsia"/>
                <w:sz w:val="21"/>
                <w:szCs w:val="21"/>
              </w:rPr>
              <w:t>是</w:t>
            </w:r>
            <w:bookmarkEnd w:id="1861"/>
          </w:p>
        </w:tc>
      </w:tr>
      <w:tr w14:paraId="54C8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033A23A9">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44397F07">
            <w:pPr>
              <w:jc w:val="center"/>
              <w:rPr>
                <w:rFonts w:hint="eastAsia"/>
                <w:sz w:val="21"/>
                <w:szCs w:val="21"/>
              </w:rPr>
            </w:pPr>
            <w:r>
              <w:rPr>
                <w:rFonts w:hint="eastAsia"/>
                <w:sz w:val="21"/>
                <w:szCs w:val="21"/>
              </w:rPr>
              <w:t>#</w:t>
            </w:r>
          </w:p>
        </w:tc>
        <w:tc>
          <w:tcPr>
            <w:tcW w:w="855" w:type="pct"/>
            <w:tcMar>
              <w:top w:w="8" w:type="dxa"/>
              <w:left w:w="8" w:type="dxa"/>
              <w:right w:w="8" w:type="dxa"/>
            </w:tcMar>
            <w:vAlign w:val="center"/>
          </w:tcPr>
          <w:p w14:paraId="781709E7">
            <w:pPr>
              <w:rPr>
                <w:rFonts w:hint="eastAsia"/>
                <w:color w:val="000000"/>
                <w:sz w:val="21"/>
                <w:szCs w:val="21"/>
                <w:lang w:bidi="ar"/>
              </w:rPr>
            </w:pPr>
            <w:r>
              <w:rPr>
                <w:rFonts w:hint="eastAsia"/>
                <w:color w:val="000000"/>
                <w:sz w:val="21"/>
                <w:szCs w:val="21"/>
                <w:lang w:bidi="ar"/>
              </w:rPr>
              <w:t>生产厂商资质</w:t>
            </w:r>
          </w:p>
        </w:tc>
        <w:tc>
          <w:tcPr>
            <w:tcW w:w="2649" w:type="pct"/>
            <w:tcMar>
              <w:top w:w="8" w:type="dxa"/>
              <w:left w:w="8" w:type="dxa"/>
              <w:right w:w="8" w:type="dxa"/>
            </w:tcMar>
            <w:vAlign w:val="center"/>
          </w:tcPr>
          <w:p w14:paraId="5BA0A77A">
            <w:pPr>
              <w:rPr>
                <w:rFonts w:hint="eastAsia"/>
                <w:color w:val="000000"/>
                <w:sz w:val="21"/>
                <w:szCs w:val="21"/>
                <w:lang w:bidi="ar"/>
              </w:rPr>
            </w:pPr>
            <w:r>
              <w:rPr>
                <w:rFonts w:hint="eastAsia"/>
                <w:color w:val="000000"/>
                <w:sz w:val="21"/>
                <w:szCs w:val="21"/>
                <w:lang w:bidi="ar"/>
              </w:rPr>
              <w:t>厂商应具备中国信息安全测评中心颁发的信息安全服务安全工程类资质证书，级别至少为三级及以上。</w:t>
            </w:r>
          </w:p>
          <w:p w14:paraId="7505BABE">
            <w:pPr>
              <w:rPr>
                <w:rFonts w:hint="eastAsia"/>
                <w:color w:val="000000"/>
                <w:sz w:val="21"/>
                <w:szCs w:val="21"/>
                <w:lang w:bidi="ar"/>
              </w:rPr>
            </w:pPr>
            <w:r>
              <w:rPr>
                <w:rFonts w:hint="eastAsia"/>
                <w:color w:val="000000"/>
                <w:sz w:val="21"/>
                <w:szCs w:val="21"/>
                <w:lang w:bidi="ar"/>
              </w:rPr>
              <w:t>厂商应具备国家计算机网络应急技术处理协调中心颁发的网络安全应急服务支撑单位证书（甲级）。</w:t>
            </w:r>
          </w:p>
        </w:tc>
        <w:tc>
          <w:tcPr>
            <w:tcW w:w="731" w:type="pct"/>
            <w:vAlign w:val="center"/>
          </w:tcPr>
          <w:p w14:paraId="77BE0CB9">
            <w:pPr>
              <w:jc w:val="center"/>
              <w:rPr>
                <w:rFonts w:hint="eastAsia"/>
                <w:sz w:val="21"/>
                <w:szCs w:val="21"/>
              </w:rPr>
            </w:pPr>
            <w:r>
              <w:rPr>
                <w:rFonts w:hint="eastAsia"/>
                <w:sz w:val="21"/>
                <w:szCs w:val="21"/>
              </w:rPr>
              <w:t>是</w:t>
            </w:r>
          </w:p>
        </w:tc>
      </w:tr>
      <w:tr w14:paraId="40E4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37421F46">
            <w:pPr>
              <w:pStyle w:val="63"/>
              <w:widowControl w:val="0"/>
              <w:numPr>
                <w:ilvl w:val="0"/>
                <w:numId w:val="15"/>
              </w:numPr>
              <w:spacing w:line="360" w:lineRule="auto"/>
              <w:ind w:firstLineChars="0"/>
              <w:contextualSpacing/>
              <w:jc w:val="center"/>
              <w:rPr>
                <w:rFonts w:hint="eastAsia"/>
                <w:sz w:val="21"/>
                <w:szCs w:val="21"/>
              </w:rPr>
            </w:pPr>
          </w:p>
        </w:tc>
        <w:tc>
          <w:tcPr>
            <w:tcW w:w="438" w:type="pct"/>
            <w:tcMar>
              <w:top w:w="8" w:type="dxa"/>
              <w:left w:w="8" w:type="dxa"/>
              <w:right w:w="8" w:type="dxa"/>
            </w:tcMar>
            <w:vAlign w:val="center"/>
          </w:tcPr>
          <w:p w14:paraId="563BAB5B">
            <w:pPr>
              <w:jc w:val="center"/>
              <w:rPr>
                <w:rFonts w:hint="eastAsia"/>
                <w:sz w:val="21"/>
                <w:szCs w:val="21"/>
              </w:rPr>
            </w:pPr>
            <w:r>
              <w:rPr>
                <w:rFonts w:hint="eastAsia"/>
                <w:sz w:val="21"/>
                <w:szCs w:val="21"/>
              </w:rPr>
              <w:t>#</w:t>
            </w:r>
          </w:p>
        </w:tc>
        <w:tc>
          <w:tcPr>
            <w:tcW w:w="855" w:type="pct"/>
            <w:tcMar>
              <w:top w:w="8" w:type="dxa"/>
              <w:left w:w="8" w:type="dxa"/>
              <w:right w:w="8" w:type="dxa"/>
            </w:tcMar>
            <w:vAlign w:val="center"/>
          </w:tcPr>
          <w:p w14:paraId="0084EE15">
            <w:pPr>
              <w:rPr>
                <w:rFonts w:hint="eastAsia"/>
                <w:sz w:val="21"/>
                <w:szCs w:val="21"/>
              </w:rPr>
            </w:pPr>
            <w:r>
              <w:rPr>
                <w:rFonts w:hint="eastAsia"/>
                <w:sz w:val="21"/>
                <w:szCs w:val="21"/>
              </w:rPr>
              <w:t>服务</w:t>
            </w:r>
          </w:p>
        </w:tc>
        <w:tc>
          <w:tcPr>
            <w:tcW w:w="2649" w:type="pct"/>
            <w:tcMar>
              <w:top w:w="8" w:type="dxa"/>
              <w:left w:w="8" w:type="dxa"/>
              <w:right w:w="8" w:type="dxa"/>
            </w:tcMar>
            <w:vAlign w:val="center"/>
          </w:tcPr>
          <w:p w14:paraId="764539B6">
            <w:pPr>
              <w:rPr>
                <w:rFonts w:hint="eastAsia"/>
                <w:sz w:val="21"/>
                <w:szCs w:val="21"/>
              </w:rPr>
            </w:pPr>
            <w:r>
              <w:rPr>
                <w:rFonts w:hint="eastAsia"/>
                <w:sz w:val="21"/>
                <w:szCs w:val="21"/>
              </w:rPr>
              <w:t>包含三年保修，原厂工程师上门服务。（提供所投产品的制造商出具的授权书）</w:t>
            </w:r>
          </w:p>
        </w:tc>
        <w:tc>
          <w:tcPr>
            <w:tcW w:w="731" w:type="pct"/>
            <w:vAlign w:val="center"/>
          </w:tcPr>
          <w:p w14:paraId="47295EB6">
            <w:pPr>
              <w:jc w:val="center"/>
              <w:rPr>
                <w:rFonts w:hint="eastAsia"/>
                <w:sz w:val="21"/>
                <w:szCs w:val="21"/>
              </w:rPr>
            </w:pPr>
            <w:r>
              <w:rPr>
                <w:rFonts w:hint="eastAsia"/>
                <w:sz w:val="21"/>
                <w:szCs w:val="21"/>
              </w:rPr>
              <w:t>是</w:t>
            </w:r>
          </w:p>
        </w:tc>
      </w:tr>
      <w:bookmarkEnd w:id="1857"/>
    </w:tbl>
    <w:p w14:paraId="1685AEF3">
      <w:pPr>
        <w:widowControl w:val="0"/>
        <w:spacing w:line="360" w:lineRule="auto"/>
        <w:rPr>
          <w:rFonts w:hint="eastAsia" w:cs="Times New Roman"/>
          <w:kern w:val="2"/>
          <w:sz w:val="21"/>
          <w:szCs w:val="21"/>
          <w14:ligatures w14:val="standardContextual"/>
        </w:rPr>
      </w:pPr>
    </w:p>
    <w:p w14:paraId="18DE5087">
      <w:pPr>
        <w:keepNext/>
        <w:keepLines/>
        <w:widowControl w:val="0"/>
        <w:numPr>
          <w:ilvl w:val="3"/>
          <w:numId w:val="11"/>
        </w:numPr>
        <w:spacing w:line="360" w:lineRule="auto"/>
        <w:ind w:firstLine="200"/>
        <w:outlineLvl w:val="3"/>
        <w:rPr>
          <w:rFonts w:hint="eastAsia" w:ascii="等线 Light" w:hAnsi="等线 Light" w:cs="Times New Roman"/>
          <w:b/>
          <w:kern w:val="2"/>
          <w:sz w:val="21"/>
          <w:szCs w:val="21"/>
          <w14:ligatures w14:val="standardContextual"/>
        </w:rPr>
      </w:pPr>
      <w:bookmarkStart w:id="1862" w:name="_Hlk200476505"/>
      <w:r>
        <w:rPr>
          <w:rFonts w:hint="eastAsia" w:ascii="等线 Light" w:hAnsi="等线 Light" w:cs="Times New Roman"/>
          <w:b/>
          <w:kern w:val="2"/>
          <w:sz w:val="21"/>
          <w:szCs w:val="21"/>
          <w14:ligatures w14:val="standardContextual"/>
        </w:rPr>
        <w:t>防毒墙（1台）</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748"/>
        <w:gridCol w:w="1458"/>
        <w:gridCol w:w="4513"/>
        <w:gridCol w:w="1246"/>
      </w:tblGrid>
      <w:tr w14:paraId="30D6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27" w:type="pct"/>
            <w:tcBorders>
              <w:top w:val="single" w:color="auto" w:sz="4" w:space="0"/>
              <w:left w:val="single" w:color="auto" w:sz="4" w:space="0"/>
              <w:bottom w:val="single" w:color="auto" w:sz="4" w:space="0"/>
              <w:right w:val="single" w:color="auto" w:sz="4" w:space="0"/>
            </w:tcBorders>
            <w:shd w:val="clear" w:color="auto" w:fill="D8D8D8"/>
            <w:vAlign w:val="center"/>
          </w:tcPr>
          <w:p w14:paraId="0F656D21">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序号</w:t>
            </w:r>
          </w:p>
        </w:tc>
        <w:tc>
          <w:tcPr>
            <w:tcW w:w="439" w:type="pct"/>
            <w:tcBorders>
              <w:top w:val="single" w:color="auto" w:sz="4" w:space="0"/>
              <w:left w:val="single" w:color="auto" w:sz="4" w:space="0"/>
              <w:bottom w:val="single" w:color="auto" w:sz="4" w:space="0"/>
              <w:right w:val="single" w:color="auto" w:sz="4" w:space="0"/>
            </w:tcBorders>
            <w:shd w:val="clear" w:color="auto" w:fill="D8D8D8"/>
            <w:vAlign w:val="center"/>
          </w:tcPr>
          <w:p w14:paraId="64C398FB">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关键指标</w:t>
            </w:r>
          </w:p>
        </w:tc>
        <w:tc>
          <w:tcPr>
            <w:tcW w:w="855" w:type="pct"/>
            <w:tcBorders>
              <w:top w:val="single" w:color="auto" w:sz="4" w:space="0"/>
              <w:left w:val="single" w:color="auto" w:sz="4" w:space="0"/>
              <w:bottom w:val="single" w:color="auto" w:sz="4" w:space="0"/>
              <w:right w:val="single" w:color="auto" w:sz="4" w:space="0"/>
            </w:tcBorders>
            <w:shd w:val="clear" w:color="auto" w:fill="D8D8D8"/>
            <w:vAlign w:val="center"/>
          </w:tcPr>
          <w:p w14:paraId="4D6673FB">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产品要求</w:t>
            </w:r>
          </w:p>
        </w:tc>
        <w:tc>
          <w:tcPr>
            <w:tcW w:w="2648" w:type="pct"/>
            <w:tcBorders>
              <w:top w:val="single" w:color="auto" w:sz="4" w:space="0"/>
              <w:left w:val="single" w:color="auto" w:sz="4" w:space="0"/>
              <w:bottom w:val="single" w:color="auto" w:sz="4" w:space="0"/>
              <w:right w:val="single" w:color="auto" w:sz="4" w:space="0"/>
            </w:tcBorders>
            <w:shd w:val="clear" w:color="auto" w:fill="D8D8D8"/>
            <w:vAlign w:val="center"/>
          </w:tcPr>
          <w:p w14:paraId="3118EFCC">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技术参数</w:t>
            </w:r>
          </w:p>
        </w:tc>
        <w:tc>
          <w:tcPr>
            <w:tcW w:w="731" w:type="pct"/>
            <w:tcBorders>
              <w:top w:val="single" w:color="auto" w:sz="4" w:space="0"/>
              <w:left w:val="single" w:color="auto" w:sz="4" w:space="0"/>
              <w:bottom w:val="single" w:color="auto" w:sz="4" w:space="0"/>
              <w:right w:val="single" w:color="auto" w:sz="4" w:space="0"/>
            </w:tcBorders>
            <w:shd w:val="clear" w:color="auto" w:fill="D8D8D8"/>
            <w:vAlign w:val="center"/>
          </w:tcPr>
          <w:p w14:paraId="7CDECA60">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证明材料是否要求</w:t>
            </w:r>
          </w:p>
        </w:tc>
      </w:tr>
      <w:tr w14:paraId="3CC4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03CD063F">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2A72B1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5" w:type="pct"/>
            <w:vMerge w:val="restart"/>
            <w:tcBorders>
              <w:top w:val="single" w:color="auto" w:sz="4" w:space="0"/>
              <w:left w:val="single" w:color="auto" w:sz="4" w:space="0"/>
              <w:right w:val="single" w:color="auto" w:sz="4" w:space="0"/>
            </w:tcBorders>
            <w:shd w:val="clear" w:color="auto" w:fill="auto"/>
            <w:vAlign w:val="center"/>
          </w:tcPr>
          <w:p w14:paraId="3AD3A250">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总体要求</w:t>
            </w: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2D8659C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2U标准机架式设备，自主可控CPU的主频≥3.0GHz，核心数≥8核，板载自带接口：≥2 个千兆电口， ≥2 个千兆Bypass电口，≥2个万兆Bypass光口（含光模块），内存≥32G，硬盘≥250GB，网络层吞吐率≥10G，冗余电源。</w:t>
            </w:r>
          </w:p>
        </w:tc>
        <w:tc>
          <w:tcPr>
            <w:tcW w:w="731" w:type="pct"/>
            <w:tcBorders>
              <w:top w:val="single" w:color="auto" w:sz="4" w:space="0"/>
              <w:left w:val="single" w:color="auto" w:sz="4" w:space="0"/>
              <w:bottom w:val="single" w:color="auto" w:sz="4" w:space="0"/>
              <w:right w:val="single" w:color="auto" w:sz="4" w:space="0"/>
            </w:tcBorders>
            <w:vAlign w:val="center"/>
          </w:tcPr>
          <w:p w14:paraId="4A1F154B">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2238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6DA9A2AD">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23DC97B">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bottom w:val="single" w:color="auto" w:sz="4" w:space="0"/>
              <w:right w:val="single" w:color="auto" w:sz="4" w:space="0"/>
            </w:tcBorders>
            <w:shd w:val="clear" w:color="auto" w:fill="auto"/>
            <w:vAlign w:val="center"/>
          </w:tcPr>
          <w:p w14:paraId="71004908">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192457F6">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采用国产芯片、主板等核心组件，适配国产操作系统并通过兼容性认证，满足自主可控与安全合规要求。</w:t>
            </w:r>
          </w:p>
        </w:tc>
        <w:tc>
          <w:tcPr>
            <w:tcW w:w="731" w:type="pct"/>
            <w:tcBorders>
              <w:top w:val="single" w:color="auto" w:sz="4" w:space="0"/>
              <w:left w:val="single" w:color="auto" w:sz="4" w:space="0"/>
              <w:bottom w:val="single" w:color="auto" w:sz="4" w:space="0"/>
              <w:right w:val="single" w:color="auto" w:sz="4" w:space="0"/>
            </w:tcBorders>
            <w:vAlign w:val="center"/>
          </w:tcPr>
          <w:p w14:paraId="2ED4725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4C31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12F772C1">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B8B3BA8">
            <w:pPr>
              <w:widowControl w:val="0"/>
              <w:spacing w:line="360" w:lineRule="auto"/>
              <w:jc w:val="center"/>
              <w:rPr>
                <w:rFonts w:hint="eastAsia" w:cs="Times New Roman"/>
                <w:kern w:val="2"/>
                <w:sz w:val="21"/>
                <w:szCs w:val="21"/>
                <w14:ligatures w14:val="standardContextual"/>
              </w:rPr>
            </w:pPr>
          </w:p>
        </w:tc>
        <w:tc>
          <w:tcPr>
            <w:tcW w:w="855" w:type="pct"/>
            <w:tcBorders>
              <w:left w:val="single" w:color="auto" w:sz="4" w:space="0"/>
              <w:bottom w:val="single" w:color="auto" w:sz="4" w:space="0"/>
              <w:right w:val="single" w:color="auto" w:sz="4" w:space="0"/>
            </w:tcBorders>
            <w:shd w:val="clear" w:color="auto" w:fill="auto"/>
            <w:vAlign w:val="center"/>
          </w:tcPr>
          <w:p w14:paraId="1F4BF044">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网络功能</w:t>
            </w: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3B815E1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支持串行防御（含多路）、并行监听（含多路）、串并混合三种部署模式，以满足不同场景；支持串行部署模式下的连接状态传递用于链路切换状态的传递。</w:t>
            </w:r>
          </w:p>
        </w:tc>
        <w:tc>
          <w:tcPr>
            <w:tcW w:w="731" w:type="pct"/>
            <w:tcBorders>
              <w:top w:val="single" w:color="auto" w:sz="4" w:space="0"/>
              <w:left w:val="single" w:color="auto" w:sz="4" w:space="0"/>
              <w:bottom w:val="single" w:color="auto" w:sz="4" w:space="0"/>
              <w:right w:val="single" w:color="auto" w:sz="4" w:space="0"/>
            </w:tcBorders>
            <w:vAlign w:val="center"/>
          </w:tcPr>
          <w:p w14:paraId="571F193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C38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61055AE6">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4BBEBB8F">
            <w:pPr>
              <w:widowControl w:val="0"/>
              <w:spacing w:line="360" w:lineRule="auto"/>
              <w:jc w:val="center"/>
              <w:rPr>
                <w:rFonts w:hint="eastAsia" w:cs="Times New Roman"/>
                <w:kern w:val="2"/>
                <w:sz w:val="21"/>
                <w:szCs w:val="21"/>
                <w14:ligatures w14:val="standardContextual"/>
              </w:rPr>
            </w:pPr>
          </w:p>
        </w:tc>
        <w:tc>
          <w:tcPr>
            <w:tcW w:w="855" w:type="pct"/>
            <w:vMerge w:val="restart"/>
            <w:tcBorders>
              <w:top w:val="single" w:color="auto" w:sz="4" w:space="0"/>
              <w:left w:val="single" w:color="auto" w:sz="4" w:space="0"/>
              <w:right w:val="single" w:color="auto" w:sz="4" w:space="0"/>
            </w:tcBorders>
            <w:shd w:val="clear" w:color="auto" w:fill="auto"/>
            <w:vAlign w:val="center"/>
          </w:tcPr>
          <w:p w14:paraId="7B6C0A3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防病毒</w:t>
            </w: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1DC3951F">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能够支持超过100种协议的解析, 包括但不限于HTTP/SMTP/POP3/FTP/SMB/TFTP/TCP/UDP/NFS/SNMP/ICMP/RTMP/DNS/IRC等</w:t>
            </w:r>
          </w:p>
        </w:tc>
        <w:tc>
          <w:tcPr>
            <w:tcW w:w="731" w:type="pct"/>
            <w:tcBorders>
              <w:top w:val="single" w:color="auto" w:sz="4" w:space="0"/>
              <w:left w:val="single" w:color="auto" w:sz="4" w:space="0"/>
              <w:bottom w:val="single" w:color="auto" w:sz="4" w:space="0"/>
              <w:right w:val="single" w:color="auto" w:sz="4" w:space="0"/>
            </w:tcBorders>
            <w:vAlign w:val="center"/>
          </w:tcPr>
          <w:p w14:paraId="240BEAD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E64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2FFC6546">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70BE2FDE">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shd w:val="clear" w:color="auto" w:fill="auto"/>
            <w:vAlign w:val="center"/>
          </w:tcPr>
          <w:p w14:paraId="53A0243B">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1F87F09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支持病毒引擎各项参数配置，包括扫描超时时间设定，文件扫描尺寸设定（默认不得低于50兆）扫描最大尺寸为2GB，压缩层数扫描设定（默认不得低于3层）压缩层数过滤最大支持35层。</w:t>
            </w:r>
          </w:p>
        </w:tc>
        <w:tc>
          <w:tcPr>
            <w:tcW w:w="731" w:type="pct"/>
            <w:tcBorders>
              <w:top w:val="single" w:color="auto" w:sz="4" w:space="0"/>
              <w:left w:val="single" w:color="auto" w:sz="4" w:space="0"/>
              <w:bottom w:val="single" w:color="auto" w:sz="4" w:space="0"/>
              <w:right w:val="single" w:color="auto" w:sz="4" w:space="0"/>
            </w:tcBorders>
            <w:vAlign w:val="center"/>
          </w:tcPr>
          <w:p w14:paraId="723BF1A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098A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5F7A303C">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5FC2A0AD">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shd w:val="clear" w:color="auto" w:fill="auto"/>
            <w:vAlign w:val="center"/>
          </w:tcPr>
          <w:p w14:paraId="754BC8B2">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69560CB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支持HTTP、SMTP、FTP、POP3、IMAP、SMB协议过滤，支持断点续传过滤，协议过滤端口为自适应模式，无需手工设定。。</w:t>
            </w:r>
          </w:p>
        </w:tc>
        <w:tc>
          <w:tcPr>
            <w:tcW w:w="731" w:type="pct"/>
            <w:tcBorders>
              <w:top w:val="single" w:color="auto" w:sz="4" w:space="0"/>
              <w:left w:val="single" w:color="auto" w:sz="4" w:space="0"/>
              <w:bottom w:val="single" w:color="auto" w:sz="4" w:space="0"/>
              <w:right w:val="single" w:color="auto" w:sz="4" w:space="0"/>
            </w:tcBorders>
            <w:vAlign w:val="center"/>
          </w:tcPr>
          <w:p w14:paraId="1FE5182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45E8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571AF6C4">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72C6F6A">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shd w:val="clear" w:color="auto" w:fill="auto"/>
            <w:vAlign w:val="center"/>
          </w:tcPr>
          <w:p w14:paraId="6A80A789">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64F423A4">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支持对协议层病毒文件的告警、破坏、隔离、阻断四种操作模式，且每一种协议的过滤动作均可灵活设定。</w:t>
            </w:r>
          </w:p>
        </w:tc>
        <w:tc>
          <w:tcPr>
            <w:tcW w:w="731" w:type="pct"/>
            <w:tcBorders>
              <w:top w:val="single" w:color="auto" w:sz="4" w:space="0"/>
              <w:left w:val="single" w:color="auto" w:sz="4" w:space="0"/>
              <w:bottom w:val="single" w:color="auto" w:sz="4" w:space="0"/>
              <w:right w:val="single" w:color="auto" w:sz="4" w:space="0"/>
            </w:tcBorders>
            <w:vAlign w:val="center"/>
          </w:tcPr>
          <w:p w14:paraId="0EABFE2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40DE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027E9FCD">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7EBA7CF">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shd w:val="clear" w:color="auto" w:fill="auto"/>
            <w:vAlign w:val="center"/>
          </w:tcPr>
          <w:p w14:paraId="58B690B7">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649A7216">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支持对活动阶段的蠕虫通讯、木马通讯、勒索病毒通讯、APT通讯、WEB攻击、安全漏洞、恶意IP、可疑URL等网络威胁类型的识别、防护。</w:t>
            </w:r>
          </w:p>
        </w:tc>
        <w:tc>
          <w:tcPr>
            <w:tcW w:w="731" w:type="pct"/>
            <w:tcBorders>
              <w:top w:val="single" w:color="auto" w:sz="4" w:space="0"/>
              <w:left w:val="single" w:color="auto" w:sz="4" w:space="0"/>
              <w:bottom w:val="single" w:color="auto" w:sz="4" w:space="0"/>
              <w:right w:val="single" w:color="auto" w:sz="4" w:space="0"/>
            </w:tcBorders>
            <w:vAlign w:val="center"/>
          </w:tcPr>
          <w:p w14:paraId="6B99556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6506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4B2A1A44">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964D7C1">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bottom w:val="single" w:color="auto" w:sz="4" w:space="0"/>
              <w:right w:val="single" w:color="auto" w:sz="4" w:space="0"/>
            </w:tcBorders>
            <w:shd w:val="clear" w:color="auto" w:fill="auto"/>
            <w:vAlign w:val="center"/>
          </w:tcPr>
          <w:p w14:paraId="65D31D3D">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57B804D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支持允许定义被扫描文件的大小范围，最大可支持2G大文件进行扫描。</w:t>
            </w:r>
          </w:p>
        </w:tc>
        <w:tc>
          <w:tcPr>
            <w:tcW w:w="731" w:type="pct"/>
            <w:tcBorders>
              <w:top w:val="single" w:color="auto" w:sz="4" w:space="0"/>
              <w:left w:val="single" w:color="auto" w:sz="4" w:space="0"/>
              <w:bottom w:val="single" w:color="auto" w:sz="4" w:space="0"/>
              <w:right w:val="single" w:color="auto" w:sz="4" w:space="0"/>
            </w:tcBorders>
            <w:vAlign w:val="center"/>
          </w:tcPr>
          <w:p w14:paraId="7C4E7F6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7C25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79C08049">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C954A3A">
            <w:pPr>
              <w:widowControl w:val="0"/>
              <w:spacing w:line="360" w:lineRule="auto"/>
              <w:jc w:val="center"/>
              <w:rPr>
                <w:rFonts w:hint="eastAsia" w:cs="Times New Roman"/>
                <w:kern w:val="2"/>
                <w:sz w:val="21"/>
                <w:szCs w:val="21"/>
                <w14:ligatures w14:val="standardContextual"/>
              </w:rPr>
            </w:pP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14:paraId="15B96A4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挖矿治理</w:t>
            </w: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32104B97">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具备在网络边界的挖矿检测和拦截能力，在界面上能展示矿池协议、挖矿事件的统计数据。</w:t>
            </w:r>
          </w:p>
        </w:tc>
        <w:tc>
          <w:tcPr>
            <w:tcW w:w="731" w:type="pct"/>
            <w:tcBorders>
              <w:top w:val="single" w:color="auto" w:sz="4" w:space="0"/>
              <w:left w:val="single" w:color="auto" w:sz="4" w:space="0"/>
              <w:bottom w:val="single" w:color="auto" w:sz="4" w:space="0"/>
              <w:right w:val="single" w:color="auto" w:sz="4" w:space="0"/>
            </w:tcBorders>
            <w:vAlign w:val="center"/>
          </w:tcPr>
          <w:p w14:paraId="56CCAEA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66BF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39684DDD">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3EDD3E28">
            <w:pPr>
              <w:widowControl w:val="0"/>
              <w:spacing w:line="360" w:lineRule="auto"/>
              <w:jc w:val="center"/>
              <w:rPr>
                <w:rFonts w:hint="eastAsia" w:cs="Times New Roman"/>
                <w:kern w:val="2"/>
                <w:sz w:val="21"/>
                <w:szCs w:val="21"/>
                <w14:ligatures w14:val="standardContextual"/>
              </w:rPr>
            </w:pPr>
          </w:p>
        </w:tc>
        <w:tc>
          <w:tcPr>
            <w:tcW w:w="855" w:type="pct"/>
            <w:tcBorders>
              <w:left w:val="single" w:color="auto" w:sz="4" w:space="0"/>
              <w:right w:val="single" w:color="auto" w:sz="4" w:space="0"/>
            </w:tcBorders>
            <w:shd w:val="clear" w:color="auto" w:fill="auto"/>
            <w:vAlign w:val="center"/>
          </w:tcPr>
          <w:p w14:paraId="4D9E9AB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系统管理</w:t>
            </w: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48BA78D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界面集成设备集中管理功能，无需购买任何服务或license，即可实现对多台设备状态监控、特征库分发、策略下发等管理要求。</w:t>
            </w:r>
          </w:p>
        </w:tc>
        <w:tc>
          <w:tcPr>
            <w:tcW w:w="731" w:type="pct"/>
            <w:tcBorders>
              <w:top w:val="single" w:color="auto" w:sz="4" w:space="0"/>
              <w:left w:val="single" w:color="auto" w:sz="4" w:space="0"/>
              <w:bottom w:val="single" w:color="auto" w:sz="4" w:space="0"/>
              <w:right w:val="single" w:color="auto" w:sz="4" w:space="0"/>
            </w:tcBorders>
            <w:vAlign w:val="center"/>
          </w:tcPr>
          <w:p w14:paraId="21CCADA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3C83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1811015D">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185FDABA">
            <w:pPr>
              <w:widowControl w:val="0"/>
              <w:spacing w:line="360" w:lineRule="auto"/>
              <w:jc w:val="center"/>
              <w:rPr>
                <w:rFonts w:hint="eastAsia" w:cs="Times New Roman"/>
                <w:kern w:val="2"/>
                <w:sz w:val="21"/>
                <w:szCs w:val="21"/>
                <w14:ligatures w14:val="standardContextual"/>
              </w:rPr>
            </w:pPr>
          </w:p>
        </w:tc>
        <w:tc>
          <w:tcPr>
            <w:tcW w:w="855" w:type="pct"/>
            <w:vMerge w:val="restart"/>
            <w:tcBorders>
              <w:top w:val="single" w:color="auto" w:sz="4" w:space="0"/>
              <w:left w:val="single" w:color="auto" w:sz="4" w:space="0"/>
              <w:right w:val="single" w:color="auto" w:sz="4" w:space="0"/>
            </w:tcBorders>
            <w:shd w:val="clear" w:color="auto" w:fill="auto"/>
            <w:vAlign w:val="center"/>
          </w:tcPr>
          <w:p w14:paraId="6299C1F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威胁情报</w:t>
            </w: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32AAFF3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能够支持威胁情报能力以覆盖更大范围的威胁检测，可根据客户的实际情况进行开启或关闭。</w:t>
            </w:r>
          </w:p>
        </w:tc>
        <w:tc>
          <w:tcPr>
            <w:tcW w:w="731" w:type="pct"/>
            <w:tcBorders>
              <w:top w:val="single" w:color="auto" w:sz="4" w:space="0"/>
              <w:left w:val="single" w:color="auto" w:sz="4" w:space="0"/>
              <w:bottom w:val="single" w:color="auto" w:sz="4" w:space="0"/>
              <w:right w:val="single" w:color="auto" w:sz="4" w:space="0"/>
            </w:tcBorders>
            <w:vAlign w:val="center"/>
          </w:tcPr>
          <w:p w14:paraId="13661873">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BEF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15585B07">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6322115">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shd w:val="clear" w:color="auto" w:fill="auto"/>
            <w:vAlign w:val="center"/>
          </w:tcPr>
          <w:p w14:paraId="17956961">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4F45C1C7">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支持用户自定义黑/白名单，支持URL黑/白名单设置、支持邮件收发件人黑/白名单设置、支持基于SHA1的文件黑/白名单设置。</w:t>
            </w:r>
          </w:p>
        </w:tc>
        <w:tc>
          <w:tcPr>
            <w:tcW w:w="731" w:type="pct"/>
            <w:tcBorders>
              <w:top w:val="single" w:color="auto" w:sz="4" w:space="0"/>
              <w:left w:val="single" w:color="auto" w:sz="4" w:space="0"/>
              <w:bottom w:val="single" w:color="auto" w:sz="4" w:space="0"/>
              <w:right w:val="single" w:color="auto" w:sz="4" w:space="0"/>
            </w:tcBorders>
            <w:vAlign w:val="center"/>
          </w:tcPr>
          <w:p w14:paraId="32A0542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DEE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2FD2A59A">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87E9FA2">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5" w:type="pct"/>
            <w:tcBorders>
              <w:left w:val="single" w:color="auto" w:sz="4" w:space="0"/>
              <w:right w:val="single" w:color="auto" w:sz="4" w:space="0"/>
            </w:tcBorders>
            <w:shd w:val="clear" w:color="auto" w:fill="auto"/>
            <w:vAlign w:val="center"/>
          </w:tcPr>
          <w:p w14:paraId="52F5A63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兼容性</w:t>
            </w: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445850F4">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投标产品需与现网负冠群金辰KSGV5000(12000)组成主备节点</w:t>
            </w:r>
            <w:r>
              <w:rPr>
                <w:rFonts w:cs="Times New Roman"/>
                <w:kern w:val="2"/>
                <w:sz w:val="21"/>
                <w:szCs w:val="21"/>
                <w14:ligatures w14:val="standardContextual"/>
              </w:rPr>
              <w:t>保障业务的连续性与高可用性。</w:t>
            </w:r>
            <w:r>
              <w:rPr>
                <w:rFonts w:hint="eastAsia" w:cs="Times New Roman"/>
                <w:kern w:val="2"/>
                <w:sz w:val="21"/>
                <w:szCs w:val="21"/>
                <w14:ligatures w14:val="standardContextual"/>
              </w:rPr>
              <w:t>（提供所投产品的制造商出具的承诺函）</w:t>
            </w:r>
          </w:p>
        </w:tc>
        <w:tc>
          <w:tcPr>
            <w:tcW w:w="731" w:type="pct"/>
            <w:tcBorders>
              <w:top w:val="single" w:color="auto" w:sz="4" w:space="0"/>
              <w:left w:val="single" w:color="auto" w:sz="4" w:space="0"/>
              <w:bottom w:val="single" w:color="auto" w:sz="4" w:space="0"/>
              <w:right w:val="single" w:color="auto" w:sz="4" w:space="0"/>
            </w:tcBorders>
            <w:vAlign w:val="center"/>
          </w:tcPr>
          <w:p w14:paraId="67884F0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3666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091EB05F">
            <w:pPr>
              <w:widowControl w:val="0"/>
              <w:numPr>
                <w:ilvl w:val="0"/>
                <w:numId w:val="16"/>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963230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5" w:type="pct"/>
            <w:tcBorders>
              <w:left w:val="single" w:color="auto" w:sz="4" w:space="0"/>
              <w:right w:val="single" w:color="auto" w:sz="4" w:space="0"/>
            </w:tcBorders>
            <w:shd w:val="clear" w:color="auto" w:fill="auto"/>
            <w:vAlign w:val="center"/>
          </w:tcPr>
          <w:p w14:paraId="7CB8A2B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服务</w:t>
            </w:r>
          </w:p>
        </w:tc>
        <w:tc>
          <w:tcPr>
            <w:tcW w:w="2648" w:type="pct"/>
            <w:tcBorders>
              <w:top w:val="single" w:color="auto" w:sz="4" w:space="0"/>
              <w:left w:val="single" w:color="auto" w:sz="4" w:space="0"/>
              <w:bottom w:val="single" w:color="auto" w:sz="4" w:space="0"/>
              <w:right w:val="single" w:color="auto" w:sz="4" w:space="0"/>
            </w:tcBorders>
            <w:shd w:val="clear" w:color="auto" w:fill="auto"/>
            <w:vAlign w:val="center"/>
          </w:tcPr>
          <w:p w14:paraId="1CA72017">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包含三年保修，原厂工程师上门服务。（提供所投产品的制造商出具的授权书）</w:t>
            </w:r>
          </w:p>
        </w:tc>
        <w:tc>
          <w:tcPr>
            <w:tcW w:w="731" w:type="pct"/>
            <w:tcBorders>
              <w:top w:val="single" w:color="auto" w:sz="4" w:space="0"/>
              <w:left w:val="single" w:color="auto" w:sz="4" w:space="0"/>
              <w:bottom w:val="single" w:color="auto" w:sz="4" w:space="0"/>
              <w:right w:val="single" w:color="auto" w:sz="4" w:space="0"/>
            </w:tcBorders>
            <w:vAlign w:val="center"/>
          </w:tcPr>
          <w:p w14:paraId="3DBA9136">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bl>
    <w:p w14:paraId="4E6A0467">
      <w:pPr>
        <w:widowControl w:val="0"/>
        <w:spacing w:line="360" w:lineRule="auto"/>
        <w:rPr>
          <w:rFonts w:hint="eastAsia" w:cs="Times New Roman"/>
          <w:kern w:val="2"/>
          <w:sz w:val="21"/>
          <w:szCs w:val="21"/>
          <w14:ligatures w14:val="standardContextual"/>
        </w:rPr>
      </w:pPr>
    </w:p>
    <w:bookmarkEnd w:id="1862"/>
    <w:p w14:paraId="2FAFC034">
      <w:pPr>
        <w:keepNext/>
        <w:keepLines/>
        <w:widowControl w:val="0"/>
        <w:numPr>
          <w:ilvl w:val="3"/>
          <w:numId w:val="11"/>
        </w:numPr>
        <w:spacing w:line="360" w:lineRule="auto"/>
        <w:ind w:firstLine="200"/>
        <w:outlineLvl w:val="3"/>
        <w:rPr>
          <w:rFonts w:hint="eastAsia" w:ascii="等线 Light" w:hAnsi="等线 Light" w:cs="Times New Roman"/>
          <w:b/>
          <w:kern w:val="2"/>
          <w:sz w:val="21"/>
          <w:szCs w:val="21"/>
          <w14:ligatures w14:val="standardContextual"/>
        </w:rPr>
      </w:pPr>
      <w:r>
        <w:rPr>
          <w:rFonts w:hint="eastAsia" w:ascii="等线 Light" w:hAnsi="等线 Light" w:cs="Times New Roman"/>
          <w:b/>
          <w:kern w:val="2"/>
          <w:sz w:val="21"/>
          <w:szCs w:val="21"/>
          <w14:ligatures w14:val="standardContextual"/>
        </w:rPr>
        <w:t>负载均衡（1台）</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728"/>
        <w:gridCol w:w="1422"/>
        <w:gridCol w:w="4406"/>
        <w:gridCol w:w="1216"/>
      </w:tblGrid>
      <w:tr w14:paraId="0411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shd w:val="clear" w:color="auto" w:fill="E7E6E6"/>
            <w:vAlign w:val="center"/>
          </w:tcPr>
          <w:p w14:paraId="7F52E0D2">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序号</w:t>
            </w:r>
          </w:p>
        </w:tc>
        <w:tc>
          <w:tcPr>
            <w:tcW w:w="438" w:type="pct"/>
            <w:shd w:val="clear" w:color="auto" w:fill="E7E6E6"/>
            <w:tcMar>
              <w:top w:w="8" w:type="dxa"/>
              <w:left w:w="8" w:type="dxa"/>
              <w:right w:w="8" w:type="dxa"/>
            </w:tcMar>
            <w:vAlign w:val="center"/>
          </w:tcPr>
          <w:p w14:paraId="7A141862">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关键指标</w:t>
            </w:r>
          </w:p>
        </w:tc>
        <w:tc>
          <w:tcPr>
            <w:tcW w:w="855" w:type="pct"/>
            <w:shd w:val="clear" w:color="auto" w:fill="E7E6E6"/>
            <w:tcMar>
              <w:top w:w="8" w:type="dxa"/>
              <w:left w:w="8" w:type="dxa"/>
              <w:right w:w="8" w:type="dxa"/>
            </w:tcMar>
            <w:vAlign w:val="center"/>
          </w:tcPr>
          <w:p w14:paraId="7737FA7D">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产品要求</w:t>
            </w:r>
          </w:p>
        </w:tc>
        <w:tc>
          <w:tcPr>
            <w:tcW w:w="2649" w:type="pct"/>
            <w:shd w:val="clear" w:color="auto" w:fill="E7E6E6"/>
            <w:tcMar>
              <w:top w:w="8" w:type="dxa"/>
              <w:left w:w="8" w:type="dxa"/>
              <w:right w:w="8" w:type="dxa"/>
            </w:tcMar>
            <w:vAlign w:val="center"/>
          </w:tcPr>
          <w:p w14:paraId="7F9EBDC5">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技术参数</w:t>
            </w:r>
          </w:p>
        </w:tc>
        <w:tc>
          <w:tcPr>
            <w:tcW w:w="731" w:type="pct"/>
            <w:shd w:val="clear" w:color="auto" w:fill="E7E6E6"/>
          </w:tcPr>
          <w:p w14:paraId="33B60EC8">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证明材料是否要求</w:t>
            </w:r>
          </w:p>
        </w:tc>
      </w:tr>
      <w:tr w14:paraId="7F39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35251EAF">
            <w:pPr>
              <w:widowControl w:val="0"/>
              <w:numPr>
                <w:ilvl w:val="0"/>
                <w:numId w:val="17"/>
              </w:numPr>
              <w:spacing w:line="360" w:lineRule="auto"/>
              <w:contextualSpacing/>
              <w:jc w:val="center"/>
              <w:rPr>
                <w:rFonts w:hint="eastAsia" w:cs="Times New Roman"/>
                <w:kern w:val="2"/>
                <w:sz w:val="21"/>
                <w:szCs w:val="21"/>
                <w14:ligatures w14:val="standardContextual"/>
              </w:rPr>
            </w:pPr>
          </w:p>
        </w:tc>
        <w:tc>
          <w:tcPr>
            <w:tcW w:w="438" w:type="pct"/>
            <w:tcMar>
              <w:top w:w="8" w:type="dxa"/>
              <w:left w:w="8" w:type="dxa"/>
              <w:right w:w="8" w:type="dxa"/>
            </w:tcMar>
            <w:vAlign w:val="center"/>
          </w:tcPr>
          <w:p w14:paraId="2187D5F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5" w:type="pct"/>
            <w:tcMar>
              <w:top w:w="8" w:type="dxa"/>
              <w:left w:w="8" w:type="dxa"/>
              <w:right w:w="8" w:type="dxa"/>
            </w:tcMar>
            <w:vAlign w:val="center"/>
          </w:tcPr>
          <w:p w14:paraId="2DB503C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硬件规格</w:t>
            </w:r>
          </w:p>
        </w:tc>
        <w:tc>
          <w:tcPr>
            <w:tcW w:w="2649" w:type="pct"/>
            <w:tcMar>
              <w:top w:w="8" w:type="dxa"/>
              <w:left w:w="8" w:type="dxa"/>
              <w:right w:w="8" w:type="dxa"/>
            </w:tcMar>
            <w:vAlign w:val="center"/>
          </w:tcPr>
          <w:p w14:paraId="4104518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信创硬件平台，信创CPU；</w:t>
            </w:r>
          </w:p>
          <w:p w14:paraId="4C1B9416">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6个千兆电口+4个千兆光口+4个万兆光口；(满配光模块)，含1个扩展槽；</w:t>
            </w:r>
          </w:p>
          <w:p w14:paraId="76EC00F4">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内存：64GB；硬盘： 512GB硬盘SSD； 双电源；</w:t>
            </w:r>
          </w:p>
        </w:tc>
        <w:tc>
          <w:tcPr>
            <w:tcW w:w="731" w:type="pct"/>
            <w:vAlign w:val="center"/>
          </w:tcPr>
          <w:p w14:paraId="1D131F5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01C7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7" w:type="pct"/>
            <w:vAlign w:val="center"/>
          </w:tcPr>
          <w:p w14:paraId="72B868B0">
            <w:pPr>
              <w:widowControl w:val="0"/>
              <w:numPr>
                <w:ilvl w:val="0"/>
                <w:numId w:val="17"/>
              </w:numPr>
              <w:spacing w:line="360" w:lineRule="auto"/>
              <w:contextualSpacing/>
              <w:jc w:val="center"/>
              <w:rPr>
                <w:rFonts w:hint="eastAsia" w:cs="Times New Roman"/>
                <w:kern w:val="2"/>
                <w:sz w:val="21"/>
                <w:szCs w:val="21"/>
                <w14:ligatures w14:val="standardContextual"/>
              </w:rPr>
            </w:pPr>
          </w:p>
        </w:tc>
        <w:tc>
          <w:tcPr>
            <w:tcW w:w="438" w:type="pct"/>
            <w:tcMar>
              <w:top w:w="8" w:type="dxa"/>
              <w:left w:w="8" w:type="dxa"/>
              <w:right w:w="8" w:type="dxa"/>
            </w:tcMar>
            <w:vAlign w:val="center"/>
          </w:tcPr>
          <w:p w14:paraId="101AE12A">
            <w:pPr>
              <w:widowControl w:val="0"/>
              <w:spacing w:line="360" w:lineRule="auto"/>
              <w:jc w:val="center"/>
              <w:rPr>
                <w:rFonts w:hint="eastAsia" w:cs="Times New Roman"/>
                <w:kern w:val="2"/>
                <w:sz w:val="21"/>
                <w:szCs w:val="21"/>
                <w14:ligatures w14:val="standardContextual"/>
              </w:rPr>
            </w:pPr>
            <w:r>
              <w:rPr>
                <w:rFonts w:cs="Times New Roman"/>
                <w:kern w:val="2"/>
                <w:sz w:val="21"/>
                <w:szCs w:val="21"/>
                <w14:ligatures w14:val="standardContextual"/>
              </w:rPr>
              <w:t>★</w:t>
            </w:r>
          </w:p>
        </w:tc>
        <w:tc>
          <w:tcPr>
            <w:tcW w:w="855" w:type="pct"/>
            <w:tcMar>
              <w:top w:w="8" w:type="dxa"/>
              <w:left w:w="8" w:type="dxa"/>
              <w:right w:w="8" w:type="dxa"/>
            </w:tcMar>
            <w:vAlign w:val="center"/>
          </w:tcPr>
          <w:p w14:paraId="2D496B1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性能要求</w:t>
            </w:r>
          </w:p>
        </w:tc>
        <w:tc>
          <w:tcPr>
            <w:tcW w:w="2649" w:type="pct"/>
            <w:tcMar>
              <w:top w:w="8" w:type="dxa"/>
              <w:left w:w="8" w:type="dxa"/>
              <w:right w:w="8" w:type="dxa"/>
            </w:tcMar>
            <w:vAlign w:val="center"/>
          </w:tcPr>
          <w:p w14:paraId="0705E36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设备吞吐：20Gbps吞吐；</w:t>
            </w:r>
          </w:p>
        </w:tc>
        <w:tc>
          <w:tcPr>
            <w:tcW w:w="731" w:type="pct"/>
            <w:vAlign w:val="center"/>
          </w:tcPr>
          <w:p w14:paraId="2F5E067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1EAF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37D83125">
            <w:pPr>
              <w:widowControl w:val="0"/>
              <w:numPr>
                <w:ilvl w:val="0"/>
                <w:numId w:val="17"/>
              </w:numPr>
              <w:spacing w:line="360" w:lineRule="auto"/>
              <w:contextualSpacing/>
              <w:jc w:val="center"/>
              <w:rPr>
                <w:rFonts w:hint="eastAsia" w:cs="Times New Roman"/>
                <w:kern w:val="2"/>
                <w:sz w:val="21"/>
                <w:szCs w:val="21"/>
                <w14:ligatures w14:val="standardContextual"/>
              </w:rPr>
            </w:pPr>
          </w:p>
        </w:tc>
        <w:tc>
          <w:tcPr>
            <w:tcW w:w="438" w:type="pct"/>
            <w:tcMar>
              <w:top w:w="8" w:type="dxa"/>
              <w:left w:w="8" w:type="dxa"/>
              <w:right w:w="8" w:type="dxa"/>
            </w:tcMar>
            <w:vAlign w:val="center"/>
          </w:tcPr>
          <w:p w14:paraId="67E385C8">
            <w:pPr>
              <w:widowControl w:val="0"/>
              <w:spacing w:line="360" w:lineRule="auto"/>
              <w:jc w:val="center"/>
              <w:rPr>
                <w:rFonts w:hint="eastAsia" w:cs="Times New Roman"/>
                <w:kern w:val="2"/>
                <w:sz w:val="21"/>
                <w:szCs w:val="21"/>
                <w14:ligatures w14:val="standardContextual"/>
              </w:rPr>
            </w:pPr>
          </w:p>
        </w:tc>
        <w:tc>
          <w:tcPr>
            <w:tcW w:w="855" w:type="pct"/>
            <w:tcMar>
              <w:top w:w="8" w:type="dxa"/>
              <w:left w:w="8" w:type="dxa"/>
              <w:right w:w="8" w:type="dxa"/>
            </w:tcMar>
            <w:vAlign w:val="center"/>
          </w:tcPr>
          <w:p w14:paraId="1DA4907D">
            <w:pPr>
              <w:widowControl w:val="0"/>
              <w:spacing w:line="360" w:lineRule="auto"/>
              <w:rPr>
                <w:rFonts w:hint="eastAsia" w:cs="Times New Roman"/>
                <w:kern w:val="2"/>
                <w:sz w:val="21"/>
                <w:szCs w:val="21"/>
                <w14:ligatures w14:val="standardContextual"/>
              </w:rPr>
            </w:pPr>
            <w:r>
              <w:rPr>
                <w:rFonts w:cs="Times New Roman"/>
                <w:kern w:val="2"/>
                <w:sz w:val="21"/>
                <w:szCs w:val="21"/>
                <w14:ligatures w14:val="standardContextual"/>
              </w:rPr>
              <w:t>路由协议</w:t>
            </w:r>
          </w:p>
        </w:tc>
        <w:tc>
          <w:tcPr>
            <w:tcW w:w="2649" w:type="pct"/>
            <w:tcMar>
              <w:top w:w="8" w:type="dxa"/>
              <w:left w:w="8" w:type="dxa"/>
              <w:right w:w="8" w:type="dxa"/>
            </w:tcMar>
            <w:vAlign w:val="center"/>
          </w:tcPr>
          <w:p w14:paraId="5124BB67">
            <w:pPr>
              <w:widowControl w:val="0"/>
              <w:spacing w:line="360" w:lineRule="auto"/>
              <w:rPr>
                <w:rFonts w:hint="eastAsia" w:cs="Times New Roman"/>
                <w:kern w:val="2"/>
                <w:sz w:val="21"/>
                <w:szCs w:val="21"/>
                <w14:ligatures w14:val="standardContextual"/>
              </w:rPr>
            </w:pPr>
            <w:r>
              <w:rPr>
                <w:rFonts w:cs="Times New Roman"/>
                <w:kern w:val="2"/>
                <w:sz w:val="21"/>
                <w:szCs w:val="21"/>
                <w14:ligatures w14:val="standardContextual"/>
              </w:rPr>
              <w:t>支持静态、RIPng、BGP4+、OSPFv2/v3、IS-IS等。支持动态路由协议下直连路由、虚拟服务路由、静态路由的路由重分发</w:t>
            </w:r>
          </w:p>
        </w:tc>
        <w:tc>
          <w:tcPr>
            <w:tcW w:w="731" w:type="pct"/>
            <w:vAlign w:val="center"/>
          </w:tcPr>
          <w:p w14:paraId="6E1FC577">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DBA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4FBC480B">
            <w:pPr>
              <w:widowControl w:val="0"/>
              <w:numPr>
                <w:ilvl w:val="0"/>
                <w:numId w:val="17"/>
              </w:numPr>
              <w:spacing w:line="360" w:lineRule="auto"/>
              <w:contextualSpacing/>
              <w:jc w:val="center"/>
              <w:rPr>
                <w:rFonts w:hint="eastAsia" w:cs="Times New Roman"/>
                <w:kern w:val="2"/>
                <w:sz w:val="21"/>
                <w:szCs w:val="21"/>
                <w14:ligatures w14:val="standardContextual"/>
              </w:rPr>
            </w:pPr>
          </w:p>
        </w:tc>
        <w:tc>
          <w:tcPr>
            <w:tcW w:w="438" w:type="pct"/>
            <w:tcMar>
              <w:top w:w="8" w:type="dxa"/>
              <w:left w:w="8" w:type="dxa"/>
              <w:right w:w="8" w:type="dxa"/>
            </w:tcMar>
            <w:vAlign w:val="center"/>
          </w:tcPr>
          <w:p w14:paraId="06CF830F">
            <w:pPr>
              <w:widowControl w:val="0"/>
              <w:spacing w:line="360" w:lineRule="auto"/>
              <w:jc w:val="center"/>
              <w:rPr>
                <w:rFonts w:hint="eastAsia" w:cs="Times New Roman"/>
                <w:kern w:val="2"/>
                <w:sz w:val="21"/>
                <w:szCs w:val="21"/>
                <w14:ligatures w14:val="standardContextual"/>
              </w:rPr>
            </w:pPr>
          </w:p>
        </w:tc>
        <w:tc>
          <w:tcPr>
            <w:tcW w:w="855" w:type="pct"/>
            <w:tcMar>
              <w:top w:w="8" w:type="dxa"/>
              <w:left w:w="8" w:type="dxa"/>
              <w:right w:w="8" w:type="dxa"/>
            </w:tcMar>
            <w:vAlign w:val="center"/>
          </w:tcPr>
          <w:p w14:paraId="0A5932D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部署模式</w:t>
            </w:r>
          </w:p>
        </w:tc>
        <w:tc>
          <w:tcPr>
            <w:tcW w:w="2649" w:type="pct"/>
            <w:tcMar>
              <w:top w:w="8" w:type="dxa"/>
              <w:left w:w="8" w:type="dxa"/>
              <w:right w:w="8" w:type="dxa"/>
            </w:tcMar>
            <w:vAlign w:val="center"/>
          </w:tcPr>
          <w:p w14:paraId="1713D8F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支持主主/主备/集群等部署模式，支持在WEB管理界面按照预定义顺序和自定义顺序切换各集群节点，支持同时使用跨三层网络接口（非二层）及带外管理口的心跳检测机制</w:t>
            </w:r>
          </w:p>
        </w:tc>
        <w:tc>
          <w:tcPr>
            <w:tcW w:w="731" w:type="pct"/>
            <w:vAlign w:val="center"/>
          </w:tcPr>
          <w:p w14:paraId="4591291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4A3E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77EB4070">
            <w:pPr>
              <w:widowControl w:val="0"/>
              <w:numPr>
                <w:ilvl w:val="0"/>
                <w:numId w:val="17"/>
              </w:numPr>
              <w:spacing w:line="360" w:lineRule="auto"/>
              <w:contextualSpacing/>
              <w:jc w:val="center"/>
              <w:rPr>
                <w:rFonts w:hint="eastAsia" w:cs="Times New Roman"/>
                <w:kern w:val="2"/>
                <w:sz w:val="21"/>
                <w:szCs w:val="21"/>
                <w14:ligatures w14:val="standardContextual"/>
              </w:rPr>
            </w:pPr>
          </w:p>
        </w:tc>
        <w:tc>
          <w:tcPr>
            <w:tcW w:w="438" w:type="pct"/>
            <w:tcMar>
              <w:top w:w="8" w:type="dxa"/>
              <w:left w:w="8" w:type="dxa"/>
              <w:right w:w="8" w:type="dxa"/>
            </w:tcMar>
            <w:vAlign w:val="center"/>
          </w:tcPr>
          <w:p w14:paraId="5CE3FE0C">
            <w:pPr>
              <w:widowControl w:val="0"/>
              <w:spacing w:line="360" w:lineRule="auto"/>
              <w:jc w:val="center"/>
              <w:rPr>
                <w:rFonts w:hint="eastAsia" w:cs="Times New Roman"/>
                <w:kern w:val="2"/>
                <w:sz w:val="21"/>
                <w:szCs w:val="21"/>
                <w14:ligatures w14:val="standardContextual"/>
              </w:rPr>
            </w:pPr>
          </w:p>
        </w:tc>
        <w:tc>
          <w:tcPr>
            <w:tcW w:w="855" w:type="pct"/>
            <w:tcMar>
              <w:top w:w="8" w:type="dxa"/>
              <w:left w:w="8" w:type="dxa"/>
              <w:right w:w="8" w:type="dxa"/>
            </w:tcMar>
            <w:vAlign w:val="center"/>
          </w:tcPr>
          <w:p w14:paraId="63484C9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双机切换</w:t>
            </w:r>
          </w:p>
        </w:tc>
        <w:tc>
          <w:tcPr>
            <w:tcW w:w="2649" w:type="pct"/>
            <w:tcMar>
              <w:top w:w="8" w:type="dxa"/>
              <w:left w:w="8" w:type="dxa"/>
              <w:right w:w="8" w:type="dxa"/>
            </w:tcMar>
            <w:vAlign w:val="center"/>
          </w:tcPr>
          <w:p w14:paraId="550C72E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同时查看主备设备运行状态,可通过独立的web界面按钮/命令行进行HA切换操作（无需重启设备、关闭端口）；支持管理页面和命令行配置设备基本切换条件，至少包括：网关状态、接口状态、指定集群成员设备切换、路由状态、CPU阈值、内存阀值、SSL卡、VLAN等状态条件。</w:t>
            </w:r>
          </w:p>
        </w:tc>
        <w:tc>
          <w:tcPr>
            <w:tcW w:w="731" w:type="pct"/>
            <w:vAlign w:val="center"/>
          </w:tcPr>
          <w:p w14:paraId="408FCA4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5A8D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100B5969">
            <w:pPr>
              <w:widowControl w:val="0"/>
              <w:numPr>
                <w:ilvl w:val="0"/>
                <w:numId w:val="17"/>
              </w:numPr>
              <w:spacing w:line="360" w:lineRule="auto"/>
              <w:contextualSpacing/>
              <w:jc w:val="center"/>
              <w:rPr>
                <w:rFonts w:hint="eastAsia" w:cs="Times New Roman"/>
                <w:kern w:val="2"/>
                <w:sz w:val="21"/>
                <w:szCs w:val="21"/>
                <w14:ligatures w14:val="standardContextual"/>
              </w:rPr>
            </w:pPr>
          </w:p>
        </w:tc>
        <w:tc>
          <w:tcPr>
            <w:tcW w:w="438" w:type="pct"/>
            <w:tcMar>
              <w:top w:w="8" w:type="dxa"/>
              <w:left w:w="8" w:type="dxa"/>
              <w:right w:w="8" w:type="dxa"/>
            </w:tcMar>
            <w:vAlign w:val="center"/>
          </w:tcPr>
          <w:p w14:paraId="48FA1BED">
            <w:pPr>
              <w:widowControl w:val="0"/>
              <w:spacing w:line="360" w:lineRule="auto"/>
              <w:jc w:val="center"/>
              <w:rPr>
                <w:rFonts w:hint="eastAsia" w:cs="Times New Roman"/>
                <w:kern w:val="2"/>
                <w:sz w:val="21"/>
                <w:szCs w:val="21"/>
                <w14:ligatures w14:val="standardContextual"/>
              </w:rPr>
            </w:pPr>
          </w:p>
        </w:tc>
        <w:tc>
          <w:tcPr>
            <w:tcW w:w="855" w:type="pct"/>
            <w:tcMar>
              <w:top w:w="8" w:type="dxa"/>
              <w:left w:w="8" w:type="dxa"/>
              <w:right w:w="8" w:type="dxa"/>
            </w:tcMar>
            <w:vAlign w:val="center"/>
          </w:tcPr>
          <w:p w14:paraId="70D1901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双栈会话保持</w:t>
            </w:r>
          </w:p>
        </w:tc>
        <w:tc>
          <w:tcPr>
            <w:tcW w:w="2649" w:type="pct"/>
            <w:tcMar>
              <w:top w:w="8" w:type="dxa"/>
              <w:left w:w="8" w:type="dxa"/>
              <w:right w:w="8" w:type="dxa"/>
            </w:tcMar>
            <w:vAlign w:val="center"/>
          </w:tcPr>
          <w:p w14:paraId="724F2E50">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支持IPv4/IPv6的双栈会话保持功能，客户端在IPv4和IPv6环境中切换时，负载均衡可启用会话保持是用户的请求流量始终分配到后台相同的服务器</w:t>
            </w:r>
          </w:p>
        </w:tc>
        <w:tc>
          <w:tcPr>
            <w:tcW w:w="731" w:type="pct"/>
            <w:vAlign w:val="center"/>
          </w:tcPr>
          <w:p w14:paraId="2C65B047">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6CD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562AF016">
            <w:pPr>
              <w:widowControl w:val="0"/>
              <w:numPr>
                <w:ilvl w:val="0"/>
                <w:numId w:val="17"/>
              </w:numPr>
              <w:spacing w:line="360" w:lineRule="auto"/>
              <w:contextualSpacing/>
              <w:jc w:val="center"/>
              <w:rPr>
                <w:rFonts w:hint="eastAsia" w:cs="Times New Roman"/>
                <w:kern w:val="2"/>
                <w:sz w:val="21"/>
                <w:szCs w:val="21"/>
                <w14:ligatures w14:val="standardContextual"/>
              </w:rPr>
            </w:pPr>
          </w:p>
        </w:tc>
        <w:tc>
          <w:tcPr>
            <w:tcW w:w="438" w:type="pct"/>
            <w:tcMar>
              <w:top w:w="8" w:type="dxa"/>
              <w:left w:w="8" w:type="dxa"/>
              <w:right w:w="8" w:type="dxa"/>
            </w:tcMar>
            <w:vAlign w:val="center"/>
          </w:tcPr>
          <w:p w14:paraId="3614481D">
            <w:pPr>
              <w:widowControl w:val="0"/>
              <w:spacing w:line="360" w:lineRule="auto"/>
              <w:jc w:val="center"/>
              <w:rPr>
                <w:rFonts w:hint="eastAsia" w:cs="Times New Roman"/>
                <w:kern w:val="2"/>
                <w:sz w:val="21"/>
                <w:szCs w:val="21"/>
                <w14:ligatures w14:val="standardContextual"/>
              </w:rPr>
            </w:pPr>
          </w:p>
        </w:tc>
        <w:tc>
          <w:tcPr>
            <w:tcW w:w="855" w:type="pct"/>
            <w:tcMar>
              <w:top w:w="8" w:type="dxa"/>
              <w:left w:w="8" w:type="dxa"/>
              <w:right w:w="8" w:type="dxa"/>
            </w:tcMar>
            <w:vAlign w:val="center"/>
          </w:tcPr>
          <w:p w14:paraId="79BEB7F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健康检查</w:t>
            </w:r>
          </w:p>
        </w:tc>
        <w:tc>
          <w:tcPr>
            <w:tcW w:w="2649" w:type="pct"/>
            <w:tcMar>
              <w:top w:w="8" w:type="dxa"/>
              <w:left w:w="8" w:type="dxa"/>
              <w:right w:w="8" w:type="dxa"/>
            </w:tcMar>
            <w:vAlign w:val="center"/>
          </w:tcPr>
          <w:p w14:paraId="340EC0AF">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健康检查HTTP、TCP及UDP协议的接受特定字符串禁用服务节点功能，负载均衡接收到服务器返回到特定字符串后可对该服务节点开启禁用，服务节点当前正在运行业务不受影响，负载均衡不会分发新请求到该节点上</w:t>
            </w:r>
          </w:p>
        </w:tc>
        <w:tc>
          <w:tcPr>
            <w:tcW w:w="731" w:type="pct"/>
            <w:vAlign w:val="center"/>
          </w:tcPr>
          <w:p w14:paraId="05083D9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0974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2F180961">
            <w:pPr>
              <w:widowControl w:val="0"/>
              <w:numPr>
                <w:ilvl w:val="0"/>
                <w:numId w:val="17"/>
              </w:numPr>
              <w:spacing w:line="360" w:lineRule="auto"/>
              <w:contextualSpacing/>
              <w:jc w:val="center"/>
              <w:rPr>
                <w:rFonts w:hint="eastAsia" w:cs="Times New Roman"/>
                <w:kern w:val="2"/>
                <w:sz w:val="21"/>
                <w:szCs w:val="21"/>
                <w14:ligatures w14:val="standardContextual"/>
              </w:rPr>
            </w:pPr>
          </w:p>
        </w:tc>
        <w:tc>
          <w:tcPr>
            <w:tcW w:w="438" w:type="pct"/>
            <w:tcMar>
              <w:top w:w="8" w:type="dxa"/>
              <w:left w:w="8" w:type="dxa"/>
              <w:right w:w="8" w:type="dxa"/>
            </w:tcMar>
            <w:vAlign w:val="center"/>
          </w:tcPr>
          <w:p w14:paraId="4E43A9B9">
            <w:pPr>
              <w:widowControl w:val="0"/>
              <w:spacing w:line="360" w:lineRule="auto"/>
              <w:jc w:val="center"/>
              <w:rPr>
                <w:rFonts w:hint="eastAsia" w:cs="Times New Roman"/>
                <w:kern w:val="2"/>
                <w:sz w:val="21"/>
                <w:szCs w:val="21"/>
                <w14:ligatures w14:val="standardContextual"/>
              </w:rPr>
            </w:pPr>
          </w:p>
        </w:tc>
        <w:tc>
          <w:tcPr>
            <w:tcW w:w="855" w:type="pct"/>
            <w:tcMar>
              <w:top w:w="8" w:type="dxa"/>
              <w:left w:w="8" w:type="dxa"/>
              <w:right w:w="8" w:type="dxa"/>
            </w:tcMar>
            <w:vAlign w:val="center"/>
          </w:tcPr>
          <w:p w14:paraId="4595457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HSL日志</w:t>
            </w:r>
          </w:p>
        </w:tc>
        <w:tc>
          <w:tcPr>
            <w:tcW w:w="2649" w:type="pct"/>
            <w:tcMar>
              <w:top w:w="8" w:type="dxa"/>
              <w:left w:w="8" w:type="dxa"/>
              <w:right w:w="8" w:type="dxa"/>
            </w:tcMar>
            <w:vAlign w:val="center"/>
          </w:tcPr>
          <w:p w14:paraId="7532F9D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支持HSL高速日志，通过业务接口发送相关日志信息，至少包括HTTP协议、DNS解析类型日志</w:t>
            </w:r>
          </w:p>
        </w:tc>
        <w:tc>
          <w:tcPr>
            <w:tcW w:w="731" w:type="pct"/>
            <w:vAlign w:val="center"/>
          </w:tcPr>
          <w:p w14:paraId="0197C1F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5991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5E726AFF">
            <w:pPr>
              <w:widowControl w:val="0"/>
              <w:numPr>
                <w:ilvl w:val="0"/>
                <w:numId w:val="17"/>
              </w:numPr>
              <w:spacing w:line="360" w:lineRule="auto"/>
              <w:contextualSpacing/>
              <w:jc w:val="center"/>
              <w:rPr>
                <w:rFonts w:hint="eastAsia" w:cs="Times New Roman"/>
                <w:kern w:val="2"/>
                <w:sz w:val="21"/>
                <w:szCs w:val="21"/>
                <w14:ligatures w14:val="standardContextual"/>
              </w:rPr>
            </w:pPr>
          </w:p>
        </w:tc>
        <w:tc>
          <w:tcPr>
            <w:tcW w:w="438" w:type="pct"/>
            <w:tcMar>
              <w:top w:w="8" w:type="dxa"/>
              <w:left w:w="8" w:type="dxa"/>
              <w:right w:w="8" w:type="dxa"/>
            </w:tcMar>
            <w:vAlign w:val="center"/>
          </w:tcPr>
          <w:p w14:paraId="289E334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5" w:type="pct"/>
            <w:tcMar>
              <w:top w:w="8" w:type="dxa"/>
              <w:left w:w="8" w:type="dxa"/>
              <w:right w:w="8" w:type="dxa"/>
            </w:tcMar>
            <w:vAlign w:val="center"/>
          </w:tcPr>
          <w:p w14:paraId="4A9A9BE9">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兼容性</w:t>
            </w:r>
          </w:p>
        </w:tc>
        <w:tc>
          <w:tcPr>
            <w:tcW w:w="2649" w:type="pct"/>
            <w:tcMar>
              <w:top w:w="8" w:type="dxa"/>
              <w:left w:w="8" w:type="dxa"/>
              <w:right w:w="8" w:type="dxa"/>
            </w:tcMar>
            <w:vAlign w:val="center"/>
          </w:tcPr>
          <w:p w14:paraId="020827B7">
            <w:pPr>
              <w:widowControl w:val="0"/>
              <w:spacing w:line="360" w:lineRule="auto"/>
              <w:rPr>
                <w:rFonts w:hint="eastAsia" w:cs="Times New Roman"/>
                <w:color w:val="EE0000"/>
                <w:kern w:val="2"/>
                <w:sz w:val="21"/>
                <w:szCs w:val="21"/>
                <w14:ligatures w14:val="standardContextual"/>
              </w:rPr>
            </w:pPr>
            <w:r>
              <w:rPr>
                <w:rFonts w:hint="eastAsia" w:cs="Times New Roman"/>
                <w:kern w:val="2"/>
                <w:sz w:val="21"/>
                <w:szCs w:val="21"/>
                <w14:ligatures w14:val="standardContextual"/>
              </w:rPr>
              <w:t>投标产品需与现网负载均衡YK--ADC-i2000-H5组成主备集群</w:t>
            </w:r>
            <w:r>
              <w:rPr>
                <w:rFonts w:cs="Times New Roman"/>
                <w:kern w:val="2"/>
                <w:sz w:val="21"/>
                <w:szCs w:val="21"/>
                <w14:ligatures w14:val="standardContextual"/>
              </w:rPr>
              <w:t>，实现流量动态分发、故障毫秒级切换</w:t>
            </w:r>
            <w:r>
              <w:rPr>
                <w:rFonts w:hint="eastAsia" w:cs="Times New Roman"/>
                <w:kern w:val="2"/>
                <w:sz w:val="21"/>
                <w:szCs w:val="21"/>
                <w14:ligatures w14:val="standardContextual"/>
              </w:rPr>
              <w:t>，</w:t>
            </w:r>
            <w:r>
              <w:rPr>
                <w:rFonts w:cs="Times New Roman"/>
                <w:kern w:val="2"/>
                <w:sz w:val="21"/>
                <w:szCs w:val="21"/>
                <w14:ligatures w14:val="standardContextual"/>
              </w:rPr>
              <w:t>保障业务的连续性与高可用性。</w:t>
            </w:r>
            <w:r>
              <w:rPr>
                <w:rFonts w:hint="eastAsia" w:cs="Times New Roman"/>
                <w:kern w:val="2"/>
                <w:sz w:val="21"/>
                <w:szCs w:val="21"/>
                <w14:ligatures w14:val="standardContextual"/>
              </w:rPr>
              <w:t>（提供所投产品的制造商出具的承诺函）</w:t>
            </w:r>
          </w:p>
        </w:tc>
        <w:tc>
          <w:tcPr>
            <w:tcW w:w="731" w:type="pct"/>
            <w:vAlign w:val="center"/>
          </w:tcPr>
          <w:p w14:paraId="571BC092">
            <w:pPr>
              <w:widowControl w:val="0"/>
              <w:spacing w:line="360" w:lineRule="auto"/>
              <w:jc w:val="center"/>
              <w:rPr>
                <w:rFonts w:hint="eastAsia" w:cs="Times New Roman"/>
                <w:color w:val="EE0000"/>
                <w:kern w:val="2"/>
                <w:sz w:val="21"/>
                <w:szCs w:val="21"/>
                <w14:ligatures w14:val="standardContextual"/>
              </w:rPr>
            </w:pPr>
            <w:r>
              <w:rPr>
                <w:rFonts w:hint="eastAsia" w:cs="Times New Roman"/>
                <w:kern w:val="2"/>
                <w:sz w:val="21"/>
                <w:szCs w:val="21"/>
                <w14:ligatures w14:val="standardContextual"/>
              </w:rPr>
              <w:t>是</w:t>
            </w:r>
          </w:p>
        </w:tc>
      </w:tr>
      <w:tr w14:paraId="5FD3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7" w:type="pct"/>
            <w:vAlign w:val="center"/>
          </w:tcPr>
          <w:p w14:paraId="532C7477">
            <w:pPr>
              <w:widowControl w:val="0"/>
              <w:numPr>
                <w:ilvl w:val="0"/>
                <w:numId w:val="17"/>
              </w:numPr>
              <w:spacing w:line="360" w:lineRule="auto"/>
              <w:contextualSpacing/>
              <w:jc w:val="center"/>
              <w:rPr>
                <w:rFonts w:hint="eastAsia" w:cs="Times New Roman"/>
                <w:kern w:val="2"/>
                <w:sz w:val="21"/>
                <w:szCs w:val="21"/>
                <w14:ligatures w14:val="standardContextual"/>
              </w:rPr>
            </w:pPr>
          </w:p>
        </w:tc>
        <w:tc>
          <w:tcPr>
            <w:tcW w:w="438" w:type="pct"/>
            <w:tcMar>
              <w:top w:w="8" w:type="dxa"/>
              <w:left w:w="8" w:type="dxa"/>
              <w:right w:w="8" w:type="dxa"/>
            </w:tcMar>
            <w:vAlign w:val="center"/>
          </w:tcPr>
          <w:p w14:paraId="5B85B8B3">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5" w:type="pct"/>
            <w:tcMar>
              <w:top w:w="8" w:type="dxa"/>
              <w:left w:w="8" w:type="dxa"/>
              <w:right w:w="8" w:type="dxa"/>
            </w:tcMar>
            <w:vAlign w:val="center"/>
          </w:tcPr>
          <w:p w14:paraId="1D2A577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服务</w:t>
            </w:r>
          </w:p>
        </w:tc>
        <w:tc>
          <w:tcPr>
            <w:tcW w:w="2649" w:type="pct"/>
            <w:tcMar>
              <w:top w:w="8" w:type="dxa"/>
              <w:left w:w="8" w:type="dxa"/>
              <w:right w:w="8" w:type="dxa"/>
            </w:tcMar>
            <w:vAlign w:val="center"/>
          </w:tcPr>
          <w:p w14:paraId="32F50D32">
            <w:pPr>
              <w:widowControl w:val="0"/>
              <w:spacing w:line="360" w:lineRule="auto"/>
              <w:rPr>
                <w:rFonts w:hint="eastAsia" w:cs="Times New Roman"/>
                <w:color w:val="EE0000"/>
                <w:kern w:val="2"/>
                <w:sz w:val="21"/>
                <w:szCs w:val="21"/>
                <w14:ligatures w14:val="standardContextual"/>
              </w:rPr>
            </w:pPr>
            <w:r>
              <w:rPr>
                <w:rFonts w:hint="eastAsia" w:cs="Times New Roman"/>
                <w:kern w:val="2"/>
                <w:sz w:val="21"/>
                <w:szCs w:val="21"/>
                <w14:ligatures w14:val="standardContextual"/>
              </w:rPr>
              <w:t>包含三年保修，原厂工程师上门服务。（提供所投产品的制造商出具的授权书）</w:t>
            </w:r>
          </w:p>
        </w:tc>
        <w:tc>
          <w:tcPr>
            <w:tcW w:w="731" w:type="pct"/>
            <w:vAlign w:val="center"/>
          </w:tcPr>
          <w:p w14:paraId="04F89042">
            <w:pPr>
              <w:widowControl w:val="0"/>
              <w:spacing w:line="360" w:lineRule="auto"/>
              <w:jc w:val="center"/>
              <w:rPr>
                <w:rFonts w:hint="eastAsia" w:cs="Times New Roman"/>
                <w:color w:val="EE0000"/>
                <w:kern w:val="2"/>
                <w:sz w:val="21"/>
                <w:szCs w:val="21"/>
                <w14:ligatures w14:val="standardContextual"/>
              </w:rPr>
            </w:pPr>
            <w:r>
              <w:rPr>
                <w:rFonts w:hint="eastAsia" w:cs="Times New Roman"/>
                <w:kern w:val="2"/>
                <w:sz w:val="21"/>
                <w:szCs w:val="21"/>
                <w14:ligatures w14:val="standardContextual"/>
              </w:rPr>
              <w:t>是</w:t>
            </w:r>
          </w:p>
        </w:tc>
      </w:tr>
    </w:tbl>
    <w:p w14:paraId="4B984116">
      <w:pPr>
        <w:keepNext/>
        <w:keepLines/>
        <w:widowControl w:val="0"/>
        <w:numPr>
          <w:ilvl w:val="3"/>
          <w:numId w:val="11"/>
        </w:numPr>
        <w:spacing w:line="360" w:lineRule="auto"/>
        <w:ind w:firstLine="200"/>
        <w:outlineLvl w:val="3"/>
        <w:rPr>
          <w:rFonts w:hint="eastAsia" w:ascii="等线 Light" w:hAnsi="等线 Light" w:cs="Times New Roman"/>
          <w:b/>
          <w:kern w:val="2"/>
          <w:sz w:val="21"/>
          <w:szCs w:val="21"/>
          <w14:ligatures w14:val="standardContextual"/>
        </w:rPr>
      </w:pPr>
      <w:r>
        <w:rPr>
          <w:rFonts w:hint="eastAsia" w:ascii="等线 Light" w:hAnsi="等线 Light" w:cs="Times New Roman"/>
          <w:b/>
          <w:kern w:val="2"/>
          <w:sz w:val="21"/>
          <w:szCs w:val="21"/>
          <w14:ligatures w14:val="standardContextual"/>
        </w:rPr>
        <w:t>安全运营管理平台（1台）</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9"/>
        <w:gridCol w:w="735"/>
        <w:gridCol w:w="1420"/>
        <w:gridCol w:w="4406"/>
        <w:gridCol w:w="1216"/>
      </w:tblGrid>
      <w:tr w14:paraId="177F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shd w:val="clear" w:color="auto" w:fill="E7E6E6"/>
            <w:vAlign w:val="center"/>
          </w:tcPr>
          <w:p w14:paraId="3B9EFA50">
            <w:pPr>
              <w:widowControl w:val="0"/>
              <w:spacing w:line="360" w:lineRule="auto"/>
              <w:jc w:val="center"/>
              <w:rPr>
                <w:rFonts w:hint="eastAsia" w:cs="Times New Roman"/>
                <w:b/>
                <w:bCs/>
                <w:kern w:val="2"/>
                <w:sz w:val="21"/>
                <w:szCs w:val="21"/>
                <w14:ligatures w14:val="standardContextual"/>
              </w:rPr>
            </w:pPr>
            <w:bookmarkStart w:id="1863" w:name="_Hlk198886789"/>
            <w:r>
              <w:rPr>
                <w:rFonts w:hint="eastAsia" w:cs="Times New Roman"/>
                <w:b/>
                <w:bCs/>
                <w:kern w:val="2"/>
                <w:sz w:val="21"/>
                <w:szCs w:val="21"/>
                <w14:ligatures w14:val="standardContextual"/>
              </w:rPr>
              <w:t>序号</w:t>
            </w:r>
          </w:p>
        </w:tc>
        <w:tc>
          <w:tcPr>
            <w:tcW w:w="442" w:type="pct"/>
            <w:shd w:val="clear" w:color="auto" w:fill="E7E6E6"/>
            <w:tcMar>
              <w:top w:w="8" w:type="dxa"/>
              <w:left w:w="8" w:type="dxa"/>
              <w:right w:w="8" w:type="dxa"/>
            </w:tcMar>
            <w:vAlign w:val="center"/>
          </w:tcPr>
          <w:p w14:paraId="1AFF63D7">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关键指标</w:t>
            </w:r>
          </w:p>
        </w:tc>
        <w:tc>
          <w:tcPr>
            <w:tcW w:w="854" w:type="pct"/>
            <w:shd w:val="clear" w:color="auto" w:fill="E7E6E6"/>
            <w:tcMar>
              <w:top w:w="8" w:type="dxa"/>
              <w:left w:w="8" w:type="dxa"/>
              <w:right w:w="8" w:type="dxa"/>
            </w:tcMar>
            <w:vAlign w:val="center"/>
          </w:tcPr>
          <w:p w14:paraId="58EFC283">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产品要求</w:t>
            </w:r>
          </w:p>
        </w:tc>
        <w:tc>
          <w:tcPr>
            <w:tcW w:w="2649" w:type="pct"/>
            <w:shd w:val="clear" w:color="auto" w:fill="E7E6E6"/>
            <w:tcMar>
              <w:top w:w="8" w:type="dxa"/>
              <w:left w:w="8" w:type="dxa"/>
              <w:right w:w="8" w:type="dxa"/>
            </w:tcMar>
            <w:vAlign w:val="center"/>
          </w:tcPr>
          <w:p w14:paraId="010724A5">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技术参数</w:t>
            </w:r>
          </w:p>
        </w:tc>
        <w:tc>
          <w:tcPr>
            <w:tcW w:w="731" w:type="pct"/>
            <w:shd w:val="clear" w:color="auto" w:fill="E7E6E6"/>
            <w:vAlign w:val="center"/>
          </w:tcPr>
          <w:p w14:paraId="3CAB12CC">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证明材料是否要求</w:t>
            </w:r>
          </w:p>
        </w:tc>
      </w:tr>
      <w:bookmarkEnd w:id="1863"/>
      <w:tr w14:paraId="483C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41C63536">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5455E714">
            <w:pPr>
              <w:widowControl w:val="0"/>
              <w:spacing w:line="360" w:lineRule="auto"/>
              <w:jc w:val="center"/>
              <w:rPr>
                <w:rFonts w:hint="eastAsia" w:cs="Times New Roman"/>
                <w:kern w:val="2"/>
                <w:sz w:val="21"/>
                <w:szCs w:val="21"/>
                <w14:ligatures w14:val="standardContextual"/>
              </w:rPr>
            </w:pPr>
            <w:bookmarkStart w:id="1864" w:name="OLE_LINK12"/>
            <w:r>
              <w:rPr>
                <w:rFonts w:cs="Times New Roman"/>
                <w:kern w:val="2"/>
                <w:sz w:val="21"/>
                <w:szCs w:val="21"/>
                <w14:ligatures w14:val="standardContextual"/>
              </w:rPr>
              <w:t>★</w:t>
            </w:r>
            <w:bookmarkEnd w:id="1864"/>
          </w:p>
        </w:tc>
        <w:tc>
          <w:tcPr>
            <w:tcW w:w="854" w:type="pct"/>
            <w:tcMar>
              <w:top w:w="8" w:type="dxa"/>
              <w:left w:w="8" w:type="dxa"/>
              <w:right w:w="8" w:type="dxa"/>
            </w:tcMar>
            <w:vAlign w:val="center"/>
          </w:tcPr>
          <w:p w14:paraId="546C142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硬件规格</w:t>
            </w:r>
          </w:p>
        </w:tc>
        <w:tc>
          <w:tcPr>
            <w:tcW w:w="2649" w:type="pct"/>
            <w:tcMar>
              <w:top w:w="8" w:type="dxa"/>
              <w:left w:w="8" w:type="dxa"/>
              <w:right w:w="8" w:type="dxa"/>
            </w:tcMar>
            <w:vAlign w:val="center"/>
          </w:tcPr>
          <w:p w14:paraId="6F300A1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2U标准机架式硬件设备，搭配冗余电源，自主可控的CPU和操作系统；</w:t>
            </w:r>
          </w:p>
          <w:p w14:paraId="66D79CD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提供的产品至少包含8*GE电口、4*SFP光口、1个接口扩展槽位；硬盘容量≥30T</w:t>
            </w:r>
          </w:p>
        </w:tc>
        <w:tc>
          <w:tcPr>
            <w:tcW w:w="731" w:type="pct"/>
            <w:vAlign w:val="center"/>
          </w:tcPr>
          <w:p w14:paraId="67A2DA4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1688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353EA8E9">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017FA342">
            <w:pPr>
              <w:widowControl w:val="0"/>
              <w:spacing w:line="360" w:lineRule="auto"/>
              <w:jc w:val="center"/>
              <w:rPr>
                <w:rFonts w:hint="eastAsia" w:cs="Times New Roman"/>
                <w:kern w:val="2"/>
                <w:sz w:val="21"/>
                <w:szCs w:val="21"/>
                <w14:ligatures w14:val="standardContextual"/>
              </w:rPr>
            </w:pPr>
            <w:r>
              <w:rPr>
                <w:rFonts w:cs="Times New Roman"/>
                <w:kern w:val="2"/>
                <w:sz w:val="21"/>
                <w:szCs w:val="21"/>
                <w14:ligatures w14:val="standardContextual"/>
              </w:rPr>
              <w:t>★</w:t>
            </w:r>
          </w:p>
        </w:tc>
        <w:tc>
          <w:tcPr>
            <w:tcW w:w="854" w:type="pct"/>
            <w:tcMar>
              <w:top w:w="8" w:type="dxa"/>
              <w:left w:w="8" w:type="dxa"/>
              <w:right w:w="8" w:type="dxa"/>
            </w:tcMar>
            <w:vAlign w:val="center"/>
          </w:tcPr>
          <w:p w14:paraId="23F3248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性能要求</w:t>
            </w:r>
          </w:p>
        </w:tc>
        <w:tc>
          <w:tcPr>
            <w:tcW w:w="2649" w:type="pct"/>
            <w:tcMar>
              <w:top w:w="8" w:type="dxa"/>
              <w:left w:w="8" w:type="dxa"/>
              <w:right w:w="8" w:type="dxa"/>
            </w:tcMar>
            <w:vAlign w:val="center"/>
          </w:tcPr>
          <w:p w14:paraId="07A35900">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日志处理性能≥2000EPS/秒。</w:t>
            </w:r>
          </w:p>
        </w:tc>
        <w:tc>
          <w:tcPr>
            <w:tcW w:w="731" w:type="pct"/>
            <w:vAlign w:val="center"/>
          </w:tcPr>
          <w:p w14:paraId="177D80A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72AC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10AF3486">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389F6765">
            <w:pPr>
              <w:widowControl w:val="0"/>
              <w:spacing w:line="360" w:lineRule="auto"/>
              <w:jc w:val="center"/>
              <w:rPr>
                <w:rFonts w:hint="eastAsia" w:cs="Times New Roman"/>
                <w:kern w:val="2"/>
                <w:sz w:val="21"/>
                <w:szCs w:val="21"/>
                <w14:ligatures w14:val="standardContextual"/>
              </w:rPr>
            </w:pPr>
          </w:p>
        </w:tc>
        <w:tc>
          <w:tcPr>
            <w:tcW w:w="854" w:type="pct"/>
            <w:vMerge w:val="restart"/>
            <w:tcMar>
              <w:top w:w="8" w:type="dxa"/>
              <w:left w:w="8" w:type="dxa"/>
              <w:right w:w="8" w:type="dxa"/>
            </w:tcMar>
            <w:vAlign w:val="center"/>
          </w:tcPr>
          <w:p w14:paraId="023727E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数据接入及解析规则</w:t>
            </w:r>
          </w:p>
        </w:tc>
        <w:tc>
          <w:tcPr>
            <w:tcW w:w="2649" w:type="pct"/>
            <w:tcMar>
              <w:top w:w="8" w:type="dxa"/>
              <w:left w:w="8" w:type="dxa"/>
              <w:right w:w="8" w:type="dxa"/>
            </w:tcMar>
            <w:vAlign w:val="center"/>
          </w:tcPr>
          <w:p w14:paraId="3BC9360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支持ipv4\ipv6、多种协议的数据接入，包括但不限于FTP、SFTP、UDP、绿盟通道（TCP）、Netflow、本地文件系统、KAFKA、JDBC/ODBC</w:t>
            </w:r>
          </w:p>
        </w:tc>
        <w:tc>
          <w:tcPr>
            <w:tcW w:w="731" w:type="pct"/>
            <w:vAlign w:val="center"/>
          </w:tcPr>
          <w:p w14:paraId="0C51508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6209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0B0AC197">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5FC4ACD2">
            <w:pPr>
              <w:widowControl w:val="0"/>
              <w:spacing w:line="360" w:lineRule="auto"/>
              <w:jc w:val="center"/>
              <w:rPr>
                <w:rFonts w:hint="eastAsia" w:cs="Times New Roman"/>
                <w:kern w:val="2"/>
                <w:sz w:val="21"/>
                <w:szCs w:val="21"/>
                <w14:ligatures w14:val="standardContextual"/>
              </w:rPr>
            </w:pPr>
          </w:p>
        </w:tc>
        <w:tc>
          <w:tcPr>
            <w:tcW w:w="854" w:type="pct"/>
            <w:vMerge w:val="continue"/>
            <w:tcMar>
              <w:top w:w="8" w:type="dxa"/>
              <w:left w:w="8" w:type="dxa"/>
              <w:right w:w="8" w:type="dxa"/>
            </w:tcMar>
            <w:vAlign w:val="center"/>
          </w:tcPr>
          <w:p w14:paraId="4C2C336B">
            <w:pPr>
              <w:widowControl w:val="0"/>
              <w:spacing w:line="360" w:lineRule="auto"/>
              <w:rPr>
                <w:rFonts w:hint="eastAsia" w:cs="Times New Roman"/>
                <w:kern w:val="2"/>
                <w:sz w:val="21"/>
                <w:szCs w:val="21"/>
                <w14:ligatures w14:val="standardContextual"/>
              </w:rPr>
            </w:pPr>
          </w:p>
        </w:tc>
        <w:tc>
          <w:tcPr>
            <w:tcW w:w="2649" w:type="pct"/>
            <w:tcMar>
              <w:top w:w="8" w:type="dxa"/>
              <w:left w:w="8" w:type="dxa"/>
              <w:right w:w="8" w:type="dxa"/>
            </w:tcMar>
            <w:vAlign w:val="center"/>
          </w:tcPr>
          <w:p w14:paraId="71830E04">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支持数据采集时可配置允许接入日志的ip白名单、数据源的日志采集上限速率、来源设备IP以及日志编码（包括但不限于UTF-8、GBK、GB2312）</w:t>
            </w:r>
          </w:p>
        </w:tc>
        <w:tc>
          <w:tcPr>
            <w:tcW w:w="731" w:type="pct"/>
            <w:vAlign w:val="center"/>
          </w:tcPr>
          <w:p w14:paraId="747827B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25A5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798C03FA">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6A5787DB">
            <w:pPr>
              <w:widowControl w:val="0"/>
              <w:spacing w:line="360" w:lineRule="auto"/>
              <w:jc w:val="center"/>
              <w:rPr>
                <w:rFonts w:hint="eastAsia" w:cs="Times New Roman"/>
                <w:kern w:val="2"/>
                <w:sz w:val="21"/>
                <w:szCs w:val="21"/>
                <w14:ligatures w14:val="standardContextual"/>
              </w:rPr>
            </w:pPr>
          </w:p>
        </w:tc>
        <w:tc>
          <w:tcPr>
            <w:tcW w:w="854" w:type="pct"/>
            <w:tcMar>
              <w:top w:w="8" w:type="dxa"/>
              <w:left w:w="8" w:type="dxa"/>
              <w:right w:w="8" w:type="dxa"/>
            </w:tcMar>
            <w:vAlign w:val="center"/>
          </w:tcPr>
          <w:p w14:paraId="150043B9">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数据外发</w:t>
            </w:r>
          </w:p>
        </w:tc>
        <w:tc>
          <w:tcPr>
            <w:tcW w:w="2649" w:type="pct"/>
            <w:tcMar>
              <w:top w:w="8" w:type="dxa"/>
              <w:left w:w="8" w:type="dxa"/>
              <w:right w:w="8" w:type="dxa"/>
            </w:tcMar>
            <w:vAlign w:val="center"/>
          </w:tcPr>
          <w:p w14:paraId="7EB11A1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通过syslog北向接口向其他平台提供数据外发和查询能力，发送通道包括UDP、FTP/SFTP、KAFKA等，支持对外发数据进行格式化转换（统一编码、映射转换等）以及数据组装方式设置（包括但不限于json、自定义模版、syslog等），并支持按需限制外发速率。（需提供产品界面截图</w:t>
            </w:r>
            <w:r>
              <w:rPr>
                <w:rFonts w:hint="eastAsia" w:ascii="等线" w:cs="Times New Roman"/>
                <w:kern w:val="2"/>
                <w:sz w:val="21"/>
                <w:szCs w:val="21"/>
                <w14:ligatures w14:val="standardContextual"/>
              </w:rPr>
              <w:t>）</w:t>
            </w:r>
          </w:p>
        </w:tc>
        <w:tc>
          <w:tcPr>
            <w:tcW w:w="731" w:type="pct"/>
            <w:vAlign w:val="center"/>
          </w:tcPr>
          <w:p w14:paraId="29F3945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0B66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3FB9CAFD">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2963BA58">
            <w:pPr>
              <w:widowControl w:val="0"/>
              <w:spacing w:line="360" w:lineRule="auto"/>
              <w:jc w:val="center"/>
              <w:rPr>
                <w:rFonts w:hint="eastAsia" w:cs="Times New Roman"/>
                <w:kern w:val="2"/>
                <w:sz w:val="21"/>
                <w:szCs w:val="21"/>
                <w14:ligatures w14:val="standardContextual"/>
              </w:rPr>
            </w:pPr>
          </w:p>
        </w:tc>
        <w:tc>
          <w:tcPr>
            <w:tcW w:w="854" w:type="pct"/>
            <w:vMerge w:val="restart"/>
            <w:tcMar>
              <w:top w:w="8" w:type="dxa"/>
              <w:left w:w="8" w:type="dxa"/>
              <w:right w:w="8" w:type="dxa"/>
            </w:tcMar>
            <w:vAlign w:val="center"/>
          </w:tcPr>
          <w:p w14:paraId="4DC7B6B7">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数据存储与备份</w:t>
            </w:r>
          </w:p>
        </w:tc>
        <w:tc>
          <w:tcPr>
            <w:tcW w:w="2649" w:type="pct"/>
            <w:tcMar>
              <w:top w:w="8" w:type="dxa"/>
              <w:left w:w="8" w:type="dxa"/>
              <w:right w:w="8" w:type="dxa"/>
            </w:tcMar>
            <w:vAlign w:val="center"/>
          </w:tcPr>
          <w:p w14:paraId="0AD8EC24">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支持数据库备份功能，支持周期性对主控节点管理数据库进行备份，支持界面配置备份是否开启，备份周期和保留备份数量，支持界面导出备份数据</w:t>
            </w:r>
          </w:p>
        </w:tc>
        <w:tc>
          <w:tcPr>
            <w:tcW w:w="731" w:type="pct"/>
            <w:vAlign w:val="center"/>
          </w:tcPr>
          <w:p w14:paraId="12927CF9">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0FA2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05DB7503">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63D4DCA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4" w:type="pct"/>
            <w:vMerge w:val="continue"/>
            <w:tcMar>
              <w:top w:w="8" w:type="dxa"/>
              <w:left w:w="8" w:type="dxa"/>
              <w:right w:w="8" w:type="dxa"/>
            </w:tcMar>
            <w:vAlign w:val="center"/>
          </w:tcPr>
          <w:p w14:paraId="7AF7D708">
            <w:pPr>
              <w:widowControl w:val="0"/>
              <w:spacing w:line="360" w:lineRule="auto"/>
              <w:rPr>
                <w:rFonts w:hint="eastAsia" w:cs="Times New Roman"/>
                <w:kern w:val="2"/>
                <w:sz w:val="21"/>
                <w:szCs w:val="21"/>
                <w14:ligatures w14:val="standardContextual"/>
              </w:rPr>
            </w:pPr>
          </w:p>
        </w:tc>
        <w:tc>
          <w:tcPr>
            <w:tcW w:w="2649" w:type="pct"/>
            <w:tcMar>
              <w:top w:w="8" w:type="dxa"/>
              <w:left w:w="8" w:type="dxa"/>
              <w:right w:w="8" w:type="dxa"/>
            </w:tcMar>
            <w:vAlign w:val="center"/>
          </w:tcPr>
          <w:p w14:paraId="2C6A1D5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平台应支持外部备份机制，支持超长日志存储，支持通过NFS自动备份日志到外部服务器上，支持备份日志自动加密存储，支持内外部存储统一展示，支持外部备份文件可恢复。（需提供产品界面截图</w:t>
            </w:r>
            <w:r>
              <w:rPr>
                <w:rFonts w:hint="eastAsia" w:ascii="等线" w:cs="Times New Roman"/>
                <w:kern w:val="2"/>
                <w:sz w:val="21"/>
                <w:szCs w:val="21"/>
                <w14:ligatures w14:val="standardContextual"/>
              </w:rPr>
              <w:t>）</w:t>
            </w:r>
          </w:p>
        </w:tc>
        <w:tc>
          <w:tcPr>
            <w:tcW w:w="731" w:type="pct"/>
            <w:vAlign w:val="center"/>
          </w:tcPr>
          <w:p w14:paraId="1E9EEACB">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3856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20BD78AD">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10B8177A">
            <w:pPr>
              <w:widowControl w:val="0"/>
              <w:spacing w:line="360" w:lineRule="auto"/>
              <w:jc w:val="center"/>
              <w:rPr>
                <w:rFonts w:hint="eastAsia" w:cs="Times New Roman"/>
                <w:kern w:val="2"/>
                <w:sz w:val="21"/>
                <w:szCs w:val="21"/>
                <w14:ligatures w14:val="standardContextual"/>
              </w:rPr>
            </w:pPr>
          </w:p>
        </w:tc>
        <w:tc>
          <w:tcPr>
            <w:tcW w:w="854" w:type="pct"/>
            <w:vMerge w:val="restart"/>
            <w:tcMar>
              <w:top w:w="8" w:type="dxa"/>
              <w:left w:w="8" w:type="dxa"/>
              <w:right w:w="8" w:type="dxa"/>
            </w:tcMar>
            <w:vAlign w:val="center"/>
          </w:tcPr>
          <w:p w14:paraId="436E366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安全态势可视化</w:t>
            </w:r>
          </w:p>
        </w:tc>
        <w:tc>
          <w:tcPr>
            <w:tcW w:w="2649" w:type="pct"/>
            <w:tcMar>
              <w:top w:w="8" w:type="dxa"/>
              <w:left w:w="8" w:type="dxa"/>
              <w:right w:w="8" w:type="dxa"/>
            </w:tcMar>
            <w:vAlign w:val="center"/>
          </w:tcPr>
          <w:p w14:paraId="0C504EB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综合态势支持从网络风险状况及健康状态纬度对网络的综合风险态势进行量化评估感知及可视化呈现，包括但不限于网络风险综合评分及评分指数、网络健康状态评分以及日志、漏洞、资产、设备接入数，攻击链威胁分布、专项整治分类统计、资产脆弱性统计和影响资产漏洞TOP、最近重点事件等。支持手动配置威胁指数、脆弱性指数、网络健康评分。</w:t>
            </w:r>
          </w:p>
        </w:tc>
        <w:tc>
          <w:tcPr>
            <w:tcW w:w="731" w:type="pct"/>
            <w:vAlign w:val="center"/>
          </w:tcPr>
          <w:p w14:paraId="27BB291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19E5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21FC2A7F">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3E39E1C3">
            <w:pPr>
              <w:widowControl w:val="0"/>
              <w:spacing w:line="360" w:lineRule="auto"/>
              <w:jc w:val="center"/>
              <w:rPr>
                <w:rFonts w:hint="eastAsia" w:cs="Times New Roman"/>
                <w:kern w:val="2"/>
                <w:sz w:val="21"/>
                <w:szCs w:val="21"/>
                <w14:ligatures w14:val="standardContextual"/>
              </w:rPr>
            </w:pPr>
          </w:p>
        </w:tc>
        <w:tc>
          <w:tcPr>
            <w:tcW w:w="854" w:type="pct"/>
            <w:vMerge w:val="continue"/>
            <w:tcMar>
              <w:top w:w="8" w:type="dxa"/>
              <w:left w:w="8" w:type="dxa"/>
              <w:right w:w="8" w:type="dxa"/>
            </w:tcMar>
            <w:vAlign w:val="center"/>
          </w:tcPr>
          <w:p w14:paraId="4EB2B672">
            <w:pPr>
              <w:widowControl w:val="0"/>
              <w:spacing w:line="360" w:lineRule="auto"/>
              <w:rPr>
                <w:rFonts w:hint="eastAsia" w:cs="Times New Roman"/>
                <w:kern w:val="2"/>
                <w:sz w:val="21"/>
                <w:szCs w:val="21"/>
                <w14:ligatures w14:val="standardContextual"/>
              </w:rPr>
            </w:pPr>
          </w:p>
        </w:tc>
        <w:tc>
          <w:tcPr>
            <w:tcW w:w="2649" w:type="pct"/>
            <w:tcMar>
              <w:top w:w="8" w:type="dxa"/>
              <w:left w:w="8" w:type="dxa"/>
              <w:right w:w="8" w:type="dxa"/>
            </w:tcMar>
            <w:vAlign w:val="center"/>
          </w:tcPr>
          <w:p w14:paraId="7257E4F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支持可视化大屏的自定义编排，包括但不限于：威胁态势统计项自定义以及新增基于内置接口统计项的自定义大屏</w:t>
            </w:r>
          </w:p>
        </w:tc>
        <w:tc>
          <w:tcPr>
            <w:tcW w:w="731" w:type="pct"/>
            <w:vAlign w:val="center"/>
          </w:tcPr>
          <w:p w14:paraId="118E68BB">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0C56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275125C7">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1EF1B17E">
            <w:pPr>
              <w:widowControl w:val="0"/>
              <w:spacing w:line="360" w:lineRule="auto"/>
              <w:jc w:val="center"/>
              <w:rPr>
                <w:rFonts w:hint="eastAsia" w:cs="Times New Roman"/>
                <w:kern w:val="2"/>
                <w:sz w:val="21"/>
                <w:szCs w:val="21"/>
                <w14:ligatures w14:val="standardContextual"/>
              </w:rPr>
            </w:pPr>
          </w:p>
        </w:tc>
        <w:tc>
          <w:tcPr>
            <w:tcW w:w="854" w:type="pct"/>
            <w:tcMar>
              <w:top w:w="8" w:type="dxa"/>
              <w:left w:w="8" w:type="dxa"/>
              <w:right w:w="8" w:type="dxa"/>
            </w:tcMar>
            <w:vAlign w:val="center"/>
          </w:tcPr>
          <w:p w14:paraId="773E07D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仪表盘</w:t>
            </w:r>
          </w:p>
        </w:tc>
        <w:tc>
          <w:tcPr>
            <w:tcW w:w="2649" w:type="pct"/>
            <w:tcMar>
              <w:top w:w="8" w:type="dxa"/>
              <w:left w:w="8" w:type="dxa"/>
              <w:right w:w="8" w:type="dxa"/>
            </w:tcMar>
            <w:vAlign w:val="center"/>
          </w:tcPr>
          <w:p w14:paraId="5F30314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最近1小时、24小时、8天的全局运维事件统计与监控并可按需自定义仪表盘，监控内容包括但不限于各类统计数据如事件、失陷资产、日志、攻击源、情报等，支持重点事件、风险处置监控、攻击源、事件类型、外发事件类型TOP等统计监控，支持资产威胁类型、资产发现、高危资产、资产脆弱性TOP等统计监控；支持漏洞、网站监测事件、脆弱性资产TOP等统计监控</w:t>
            </w:r>
          </w:p>
        </w:tc>
        <w:tc>
          <w:tcPr>
            <w:tcW w:w="731" w:type="pct"/>
            <w:vAlign w:val="center"/>
          </w:tcPr>
          <w:p w14:paraId="7A1858E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C62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6D721415">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206630EB">
            <w:pPr>
              <w:widowControl w:val="0"/>
              <w:spacing w:line="360" w:lineRule="auto"/>
              <w:jc w:val="center"/>
              <w:rPr>
                <w:rFonts w:hint="eastAsia" w:cs="Times New Roman"/>
                <w:kern w:val="2"/>
                <w:sz w:val="21"/>
                <w:szCs w:val="21"/>
                <w14:ligatures w14:val="standardContextual"/>
              </w:rPr>
            </w:pPr>
          </w:p>
        </w:tc>
        <w:tc>
          <w:tcPr>
            <w:tcW w:w="854" w:type="pct"/>
            <w:vMerge w:val="restart"/>
            <w:tcMar>
              <w:top w:w="8" w:type="dxa"/>
              <w:left w:w="8" w:type="dxa"/>
              <w:right w:w="8" w:type="dxa"/>
            </w:tcMar>
            <w:vAlign w:val="center"/>
          </w:tcPr>
          <w:p w14:paraId="07A36F7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威胁检测</w:t>
            </w:r>
          </w:p>
        </w:tc>
        <w:tc>
          <w:tcPr>
            <w:tcW w:w="2649" w:type="pct"/>
            <w:tcMar>
              <w:top w:w="8" w:type="dxa"/>
              <w:left w:w="8" w:type="dxa"/>
              <w:right w:w="8" w:type="dxa"/>
            </w:tcMar>
            <w:vAlign w:val="center"/>
          </w:tcPr>
          <w:p w14:paraId="40F773C7">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不少于80种内置的关联分析规则，每种关联分析规则至少对3条及以上的告警进行关联分析。规则覆盖暴力破解成功、漏洞利用成功之后下载木马、漏洞利用成功之后反弹shell、安全设备被绕过、文件上传之后执行命令、未授权漏洞利用成功后ssh登录等场景</w:t>
            </w:r>
          </w:p>
        </w:tc>
        <w:tc>
          <w:tcPr>
            <w:tcW w:w="731" w:type="pct"/>
            <w:vAlign w:val="center"/>
          </w:tcPr>
          <w:p w14:paraId="23BC404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2A3D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238403F3">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5D0B92E8">
            <w:pPr>
              <w:widowControl w:val="0"/>
              <w:spacing w:line="360" w:lineRule="auto"/>
              <w:jc w:val="center"/>
              <w:rPr>
                <w:rFonts w:hint="eastAsia" w:cs="Times New Roman"/>
                <w:kern w:val="2"/>
                <w:sz w:val="21"/>
                <w:szCs w:val="21"/>
                <w14:ligatures w14:val="standardContextual"/>
              </w:rPr>
            </w:pPr>
          </w:p>
        </w:tc>
        <w:tc>
          <w:tcPr>
            <w:tcW w:w="854" w:type="pct"/>
            <w:vMerge w:val="continue"/>
            <w:tcMar>
              <w:top w:w="8" w:type="dxa"/>
              <w:left w:w="8" w:type="dxa"/>
              <w:right w:w="8" w:type="dxa"/>
            </w:tcMar>
            <w:vAlign w:val="center"/>
          </w:tcPr>
          <w:p w14:paraId="0BDB5AC5">
            <w:pPr>
              <w:widowControl w:val="0"/>
              <w:spacing w:line="360" w:lineRule="auto"/>
              <w:rPr>
                <w:rFonts w:hint="eastAsia" w:cs="Times New Roman"/>
                <w:kern w:val="2"/>
                <w:sz w:val="21"/>
                <w:szCs w:val="21"/>
                <w14:ligatures w14:val="standardContextual"/>
              </w:rPr>
            </w:pPr>
          </w:p>
        </w:tc>
        <w:tc>
          <w:tcPr>
            <w:tcW w:w="2649" w:type="pct"/>
            <w:tcMar>
              <w:top w:w="8" w:type="dxa"/>
              <w:left w:w="8" w:type="dxa"/>
              <w:right w:w="8" w:type="dxa"/>
            </w:tcMar>
            <w:vAlign w:val="center"/>
          </w:tcPr>
          <w:p w14:paraId="654EB484">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w:t>
            </w:r>
            <w:bookmarkStart w:id="1865" w:name="OLE_LINK82"/>
            <w:r>
              <w:rPr>
                <w:rFonts w:hint="eastAsia" w:cs="Times New Roman"/>
                <w:kern w:val="2"/>
                <w:sz w:val="21"/>
                <w:szCs w:val="21"/>
                <w14:ligatures w14:val="standardContextual"/>
              </w:rPr>
              <w:t>持失陷资产检测</w:t>
            </w:r>
            <w:bookmarkEnd w:id="1865"/>
            <w:r>
              <w:rPr>
                <w:rFonts w:hint="eastAsia" w:cs="Times New Roman"/>
                <w:kern w:val="2"/>
                <w:sz w:val="21"/>
                <w:szCs w:val="21"/>
                <w14:ligatures w14:val="standardContextual"/>
              </w:rPr>
              <w:t>，可对失陷资产进行判定并提供失陷资产的判定依据，包括但不限于失陷资产概要信息、攻击结果、攻击链分布阶段、失陷资产的攻击过程及过程判定依据如攻击特征、流量上下文、关联的告警日志及流量日志以及pcap包下载，并可快速扩展该失陷资产的全部攻击事件以及该失陷资产攻击者发起的攻击、该失陷资产的同类型威胁事件。（需提供产品界面截图</w:t>
            </w:r>
            <w:r>
              <w:rPr>
                <w:rFonts w:hint="eastAsia" w:ascii="等线" w:cs="Times New Roman"/>
                <w:kern w:val="2"/>
                <w:sz w:val="21"/>
                <w:szCs w:val="21"/>
                <w14:ligatures w14:val="standardContextual"/>
              </w:rPr>
              <w:t>）</w:t>
            </w:r>
          </w:p>
        </w:tc>
        <w:tc>
          <w:tcPr>
            <w:tcW w:w="731" w:type="pct"/>
            <w:vAlign w:val="center"/>
          </w:tcPr>
          <w:p w14:paraId="184F6CA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0977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18D52F47">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3722EB3B">
            <w:pPr>
              <w:widowControl w:val="0"/>
              <w:spacing w:line="360" w:lineRule="auto"/>
              <w:rPr>
                <w:rFonts w:hint="eastAsia" w:cs="Times New Roman"/>
                <w:kern w:val="2"/>
                <w:sz w:val="21"/>
                <w:szCs w:val="21"/>
                <w14:ligatures w14:val="standardContextual"/>
              </w:rPr>
            </w:pPr>
          </w:p>
        </w:tc>
        <w:tc>
          <w:tcPr>
            <w:tcW w:w="854" w:type="pct"/>
            <w:tcMar>
              <w:top w:w="8" w:type="dxa"/>
              <w:left w:w="8" w:type="dxa"/>
              <w:right w:w="8" w:type="dxa"/>
            </w:tcMar>
            <w:vAlign w:val="center"/>
          </w:tcPr>
          <w:p w14:paraId="34E0A35F">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威胁分析</w:t>
            </w:r>
          </w:p>
        </w:tc>
        <w:tc>
          <w:tcPr>
            <w:tcW w:w="2649" w:type="pct"/>
            <w:tcMar>
              <w:top w:w="8" w:type="dxa"/>
              <w:left w:w="8" w:type="dxa"/>
              <w:right w:w="8" w:type="dxa"/>
            </w:tcMar>
            <w:vAlign w:val="center"/>
          </w:tcPr>
          <w:p w14:paraId="185C0AD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支持提供威胁事件统一运维入口，并支持运维人员自定义威胁运维页签，实现关注IP、资产、攻击类型、攻击结果、来源设备、置信度等多维度自定义的运维事件</w:t>
            </w:r>
          </w:p>
        </w:tc>
        <w:tc>
          <w:tcPr>
            <w:tcW w:w="731" w:type="pct"/>
            <w:vAlign w:val="center"/>
          </w:tcPr>
          <w:p w14:paraId="300DB2D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8D1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677D1501">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17B0BC71">
            <w:pPr>
              <w:widowControl w:val="0"/>
              <w:spacing w:line="360" w:lineRule="auto"/>
              <w:jc w:val="center"/>
              <w:rPr>
                <w:rFonts w:hint="eastAsia" w:cs="Times New Roman"/>
                <w:kern w:val="2"/>
                <w:sz w:val="21"/>
                <w:szCs w:val="21"/>
                <w14:ligatures w14:val="standardContextual"/>
              </w:rPr>
            </w:pPr>
          </w:p>
        </w:tc>
        <w:tc>
          <w:tcPr>
            <w:tcW w:w="854" w:type="pct"/>
            <w:tcMar>
              <w:top w:w="8" w:type="dxa"/>
              <w:left w:w="8" w:type="dxa"/>
              <w:right w:w="8" w:type="dxa"/>
            </w:tcMar>
            <w:vAlign w:val="center"/>
          </w:tcPr>
          <w:p w14:paraId="626830B6">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一键响应</w:t>
            </w:r>
          </w:p>
        </w:tc>
        <w:tc>
          <w:tcPr>
            <w:tcW w:w="2649" w:type="pct"/>
            <w:tcMar>
              <w:top w:w="8" w:type="dxa"/>
              <w:left w:w="8" w:type="dxa"/>
              <w:right w:w="8" w:type="dxa"/>
            </w:tcMar>
            <w:vAlign w:val="center"/>
          </w:tcPr>
          <w:p w14:paraId="6284EC8F">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支持一键封堵的权限管理能力，支持分账号、分权限的封堵策略管理，一键封堵角色需至少区分操作员、审批员、管理员，且支持多角色共存。（需提供产品界面截图</w:t>
            </w:r>
            <w:r>
              <w:rPr>
                <w:rFonts w:hint="eastAsia" w:ascii="等线" w:cs="Times New Roman"/>
                <w:kern w:val="2"/>
                <w:sz w:val="21"/>
                <w:szCs w:val="21"/>
                <w14:ligatures w14:val="standardContextual"/>
              </w:rPr>
              <w:t>）</w:t>
            </w:r>
          </w:p>
        </w:tc>
        <w:tc>
          <w:tcPr>
            <w:tcW w:w="731" w:type="pct"/>
            <w:vAlign w:val="center"/>
          </w:tcPr>
          <w:p w14:paraId="5B6B8C9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5DB2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763A57AF">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3D0DF67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4" w:type="pct"/>
            <w:tcMar>
              <w:top w:w="8" w:type="dxa"/>
              <w:left w:w="8" w:type="dxa"/>
              <w:right w:w="8" w:type="dxa"/>
            </w:tcMar>
            <w:vAlign w:val="center"/>
          </w:tcPr>
          <w:p w14:paraId="09611C7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产品资质</w:t>
            </w:r>
          </w:p>
        </w:tc>
        <w:tc>
          <w:tcPr>
            <w:tcW w:w="2649" w:type="pct"/>
            <w:tcMar>
              <w:top w:w="8" w:type="dxa"/>
              <w:left w:w="8" w:type="dxa"/>
              <w:right w:w="8" w:type="dxa"/>
            </w:tcMar>
            <w:vAlign w:val="center"/>
          </w:tcPr>
          <w:p w14:paraId="2D2269B0">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产品具备由中国信息安全测评中心颁发的国家信息安全测评信息技术产品安全测评证书，级别至少为EAL3+。</w:t>
            </w:r>
            <w:r>
              <w:rPr>
                <w:rFonts w:hint="eastAsia" w:ascii="等线" w:cs="Times New Roman"/>
                <w:kern w:val="2"/>
                <w:sz w:val="21"/>
                <w:szCs w:val="21"/>
                <w14:ligatures w14:val="standardContextual"/>
              </w:rPr>
              <w:t>）</w:t>
            </w:r>
          </w:p>
          <w:p w14:paraId="19E82799">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产品具备由公安部计算机信息系统安全产品质量监督检验中心颁发的网络安全专用产品安全检测证书。</w:t>
            </w:r>
            <w:r>
              <w:rPr>
                <w:rFonts w:hint="eastAsia" w:ascii="等线" w:cs="Times New Roman"/>
                <w:kern w:val="2"/>
                <w:sz w:val="21"/>
                <w:szCs w:val="21"/>
                <w14:ligatures w14:val="standardContextual"/>
              </w:rPr>
              <w:t>）</w:t>
            </w:r>
            <w:r>
              <w:rPr>
                <w:rFonts w:hint="eastAsia" w:cs="Times New Roman"/>
                <w:kern w:val="2"/>
                <w:sz w:val="21"/>
                <w:szCs w:val="21"/>
                <w14:ligatures w14:val="standardContextual"/>
              </w:rPr>
              <w:t>。</w:t>
            </w:r>
          </w:p>
          <w:p w14:paraId="1C5BAB57">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产品具备由中国信息安全测评中心颁发的国家信息安全漏洞库（CNNVD）兼容性资质证书</w:t>
            </w:r>
          </w:p>
        </w:tc>
        <w:tc>
          <w:tcPr>
            <w:tcW w:w="731" w:type="pct"/>
            <w:vAlign w:val="center"/>
          </w:tcPr>
          <w:p w14:paraId="31A8A5C3">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498C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4" w:type="pct"/>
            <w:vAlign w:val="center"/>
          </w:tcPr>
          <w:p w14:paraId="3A0F768A">
            <w:pPr>
              <w:widowControl w:val="0"/>
              <w:numPr>
                <w:ilvl w:val="0"/>
                <w:numId w:val="18"/>
              </w:numPr>
              <w:spacing w:line="360" w:lineRule="auto"/>
              <w:contextualSpacing/>
              <w:jc w:val="center"/>
              <w:rPr>
                <w:rFonts w:hint="eastAsia" w:cs="Times New Roman"/>
                <w:kern w:val="2"/>
                <w:sz w:val="21"/>
                <w:szCs w:val="21"/>
                <w14:ligatures w14:val="standardContextual"/>
              </w:rPr>
            </w:pPr>
          </w:p>
        </w:tc>
        <w:tc>
          <w:tcPr>
            <w:tcW w:w="442" w:type="pct"/>
            <w:tcMar>
              <w:top w:w="8" w:type="dxa"/>
              <w:left w:w="8" w:type="dxa"/>
              <w:right w:w="8" w:type="dxa"/>
            </w:tcMar>
            <w:vAlign w:val="center"/>
          </w:tcPr>
          <w:p w14:paraId="3309746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4" w:type="pct"/>
            <w:tcMar>
              <w:top w:w="8" w:type="dxa"/>
              <w:left w:w="8" w:type="dxa"/>
              <w:right w:w="8" w:type="dxa"/>
            </w:tcMar>
            <w:vAlign w:val="center"/>
          </w:tcPr>
          <w:p w14:paraId="074E23A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服务</w:t>
            </w:r>
          </w:p>
        </w:tc>
        <w:tc>
          <w:tcPr>
            <w:tcW w:w="2649" w:type="pct"/>
            <w:tcMar>
              <w:top w:w="8" w:type="dxa"/>
              <w:left w:w="8" w:type="dxa"/>
              <w:right w:w="8" w:type="dxa"/>
            </w:tcMar>
            <w:vAlign w:val="center"/>
          </w:tcPr>
          <w:p w14:paraId="3AFDCFA4">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包含三年保修，原厂工程师上门服务。（提供所投产品的制造商出具的授权书）</w:t>
            </w:r>
          </w:p>
        </w:tc>
        <w:tc>
          <w:tcPr>
            <w:tcW w:w="731" w:type="pct"/>
            <w:vAlign w:val="center"/>
          </w:tcPr>
          <w:p w14:paraId="6174EC3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bookmarkEnd w:id="1851"/>
      <w:bookmarkEnd w:id="1852"/>
    </w:tbl>
    <w:p w14:paraId="6786BE8A">
      <w:pPr>
        <w:keepNext/>
        <w:keepLines/>
        <w:widowControl w:val="0"/>
        <w:numPr>
          <w:ilvl w:val="2"/>
          <w:numId w:val="11"/>
        </w:numPr>
        <w:spacing w:line="360" w:lineRule="auto"/>
        <w:ind w:firstLine="200"/>
        <w:outlineLvl w:val="2"/>
        <w:rPr>
          <w:rFonts w:hint="eastAsia" w:cs="Times New Roman"/>
          <w:b/>
          <w:kern w:val="2"/>
          <w:sz w:val="21"/>
          <w:szCs w:val="21"/>
          <w14:ligatures w14:val="standardContextual"/>
        </w:rPr>
      </w:pPr>
      <w:bookmarkStart w:id="1866" w:name="_Toc3112"/>
      <w:r>
        <w:rPr>
          <w:rFonts w:hint="eastAsia" w:cs="Times New Roman"/>
          <w:b/>
          <w:kern w:val="2"/>
          <w:sz w:val="21"/>
          <w:szCs w:val="21"/>
          <w14:ligatures w14:val="standardContextual"/>
        </w:rPr>
        <w:t>软件采购</w:t>
      </w:r>
      <w:bookmarkEnd w:id="1866"/>
    </w:p>
    <w:p w14:paraId="348FC1D6">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根据建设需求，本次需要采购软件详细参数要求如下。</w:t>
      </w:r>
    </w:p>
    <w:p w14:paraId="399A4B0E">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指标按重要性分为“★”“#”和一般无标示指标。★代表实质性指标，不满足该指标项将导致投标被拒绝， #代表重要指标，无标识则表示一般指标项。</w:t>
      </w:r>
    </w:p>
    <w:p w14:paraId="3AD45639">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3D35CEF3">
      <w:pPr>
        <w:keepNext/>
        <w:keepLines/>
        <w:widowControl w:val="0"/>
        <w:numPr>
          <w:ilvl w:val="3"/>
          <w:numId w:val="11"/>
        </w:numPr>
        <w:spacing w:line="360" w:lineRule="auto"/>
        <w:ind w:firstLine="200"/>
        <w:outlineLvl w:val="3"/>
        <w:rPr>
          <w:rFonts w:hint="eastAsia" w:ascii="等线 Light" w:hAnsi="等线 Light" w:cs="Times New Roman"/>
          <w:b/>
          <w:kern w:val="2"/>
          <w:sz w:val="21"/>
          <w:szCs w:val="21"/>
          <w14:ligatures w14:val="standardContextual"/>
        </w:rPr>
      </w:pPr>
      <w:r>
        <w:rPr>
          <w:rFonts w:hint="eastAsia" w:ascii="等线 Light" w:hAnsi="等线 Light" w:cs="Times New Roman"/>
          <w:b/>
          <w:kern w:val="2"/>
          <w:sz w:val="21"/>
          <w:szCs w:val="21"/>
          <w14:ligatures w14:val="standardContextual"/>
        </w:rPr>
        <w:t>零信任控制中心</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748"/>
        <w:gridCol w:w="1457"/>
        <w:gridCol w:w="4513"/>
        <w:gridCol w:w="1247"/>
      </w:tblGrid>
      <w:tr w14:paraId="396E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7" w:type="pct"/>
            <w:tcBorders>
              <w:top w:val="single" w:color="auto" w:sz="4" w:space="0"/>
              <w:left w:val="single" w:color="auto" w:sz="4" w:space="0"/>
              <w:bottom w:val="single" w:color="auto" w:sz="4" w:space="0"/>
              <w:right w:val="single" w:color="auto" w:sz="4" w:space="0"/>
            </w:tcBorders>
            <w:shd w:val="clear" w:color="auto" w:fill="ADADAD"/>
            <w:vAlign w:val="center"/>
          </w:tcPr>
          <w:p w14:paraId="711BE121">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序号</w:t>
            </w:r>
          </w:p>
        </w:tc>
        <w:tc>
          <w:tcPr>
            <w:tcW w:w="439" w:type="pct"/>
            <w:tcBorders>
              <w:top w:val="single" w:color="auto" w:sz="4" w:space="0"/>
              <w:left w:val="single" w:color="auto" w:sz="4" w:space="0"/>
              <w:bottom w:val="single" w:color="auto" w:sz="4" w:space="0"/>
              <w:right w:val="single" w:color="auto" w:sz="4" w:space="0"/>
            </w:tcBorders>
            <w:shd w:val="clear" w:color="auto" w:fill="ADADAD"/>
            <w:vAlign w:val="center"/>
          </w:tcPr>
          <w:p w14:paraId="31722474">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关键指标</w:t>
            </w:r>
          </w:p>
        </w:tc>
        <w:tc>
          <w:tcPr>
            <w:tcW w:w="855" w:type="pct"/>
            <w:tcBorders>
              <w:top w:val="single" w:color="auto" w:sz="4" w:space="0"/>
              <w:left w:val="single" w:color="auto" w:sz="4" w:space="0"/>
              <w:bottom w:val="single" w:color="auto" w:sz="4" w:space="0"/>
              <w:right w:val="single" w:color="auto" w:sz="4" w:space="0"/>
            </w:tcBorders>
            <w:shd w:val="clear" w:color="auto" w:fill="ADADAD"/>
            <w:vAlign w:val="center"/>
          </w:tcPr>
          <w:p w14:paraId="2B7F3DA9">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产品要求</w:t>
            </w:r>
          </w:p>
        </w:tc>
        <w:tc>
          <w:tcPr>
            <w:tcW w:w="2648" w:type="pct"/>
            <w:tcBorders>
              <w:top w:val="single" w:color="auto" w:sz="4" w:space="0"/>
              <w:left w:val="single" w:color="auto" w:sz="4" w:space="0"/>
              <w:bottom w:val="single" w:color="auto" w:sz="4" w:space="0"/>
              <w:right w:val="single" w:color="auto" w:sz="4" w:space="0"/>
            </w:tcBorders>
            <w:shd w:val="clear" w:color="auto" w:fill="ADADAD"/>
            <w:vAlign w:val="center"/>
          </w:tcPr>
          <w:p w14:paraId="1D8BE2F0">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技术参数</w:t>
            </w:r>
          </w:p>
        </w:tc>
        <w:tc>
          <w:tcPr>
            <w:tcW w:w="731" w:type="pct"/>
            <w:tcBorders>
              <w:top w:val="single" w:color="auto" w:sz="4" w:space="0"/>
              <w:left w:val="single" w:color="auto" w:sz="4" w:space="0"/>
              <w:bottom w:val="single" w:color="auto" w:sz="4" w:space="0"/>
              <w:right w:val="single" w:color="auto" w:sz="4" w:space="0"/>
            </w:tcBorders>
            <w:shd w:val="clear" w:color="auto" w:fill="ADADAD"/>
          </w:tcPr>
          <w:p w14:paraId="4AA78B14">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证明材料是否要求</w:t>
            </w:r>
          </w:p>
        </w:tc>
      </w:tr>
      <w:tr w14:paraId="0021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7" w:type="pct"/>
            <w:tcBorders>
              <w:top w:val="single" w:color="auto" w:sz="4" w:space="0"/>
              <w:left w:val="single" w:color="auto" w:sz="4" w:space="0"/>
              <w:bottom w:val="single" w:color="auto" w:sz="4" w:space="0"/>
              <w:right w:val="single" w:color="auto" w:sz="4" w:space="0"/>
            </w:tcBorders>
            <w:vAlign w:val="center"/>
          </w:tcPr>
          <w:p w14:paraId="1A491CC6">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2E4EE58C">
            <w:pPr>
              <w:widowControl w:val="0"/>
              <w:spacing w:line="360" w:lineRule="auto"/>
              <w:jc w:val="center"/>
              <w:rPr>
                <w:rFonts w:hint="eastAsia" w:cs="Times New Roman"/>
                <w:kern w:val="2"/>
                <w:sz w:val="21"/>
                <w:szCs w:val="21"/>
                <w14:ligatures w14:val="standardContextual"/>
              </w:rPr>
            </w:pPr>
          </w:p>
        </w:tc>
        <w:tc>
          <w:tcPr>
            <w:tcW w:w="855" w:type="pct"/>
            <w:vMerge w:val="restart"/>
            <w:tcBorders>
              <w:top w:val="single" w:color="auto" w:sz="4" w:space="0"/>
              <w:left w:val="single" w:color="auto" w:sz="4" w:space="0"/>
              <w:right w:val="single" w:color="auto" w:sz="4" w:space="0"/>
            </w:tcBorders>
            <w:vAlign w:val="center"/>
          </w:tcPr>
          <w:p w14:paraId="4084CDA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部署方式</w:t>
            </w:r>
          </w:p>
        </w:tc>
        <w:tc>
          <w:tcPr>
            <w:tcW w:w="2648" w:type="pct"/>
            <w:tcBorders>
              <w:top w:val="single" w:color="auto" w:sz="4" w:space="0"/>
              <w:left w:val="single" w:color="auto" w:sz="4" w:space="0"/>
              <w:bottom w:val="single" w:color="auto" w:sz="4" w:space="0"/>
              <w:right w:val="single" w:color="auto" w:sz="4" w:space="0"/>
            </w:tcBorders>
            <w:vAlign w:val="center"/>
          </w:tcPr>
          <w:p w14:paraId="48746A89">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为了满足灵活部署的要求，控制中心应支持单臂模式、路由模式部署；</w:t>
            </w:r>
          </w:p>
        </w:tc>
        <w:tc>
          <w:tcPr>
            <w:tcW w:w="731" w:type="pct"/>
            <w:tcBorders>
              <w:top w:val="single" w:color="auto" w:sz="4" w:space="0"/>
              <w:left w:val="single" w:color="auto" w:sz="4" w:space="0"/>
              <w:bottom w:val="single" w:color="auto" w:sz="4" w:space="0"/>
              <w:right w:val="single" w:color="auto" w:sz="4" w:space="0"/>
            </w:tcBorders>
            <w:vAlign w:val="center"/>
          </w:tcPr>
          <w:p w14:paraId="4FA16F69">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43B2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27" w:type="pct"/>
            <w:tcBorders>
              <w:top w:val="single" w:color="auto" w:sz="4" w:space="0"/>
              <w:left w:val="single" w:color="auto" w:sz="4" w:space="0"/>
              <w:bottom w:val="single" w:color="auto" w:sz="4" w:space="0"/>
              <w:right w:val="single" w:color="auto" w:sz="4" w:space="0"/>
            </w:tcBorders>
            <w:vAlign w:val="center"/>
          </w:tcPr>
          <w:p w14:paraId="155A3D04">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6689314C">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bottom w:val="single" w:color="auto" w:sz="4" w:space="0"/>
              <w:right w:val="single" w:color="auto" w:sz="4" w:space="0"/>
            </w:tcBorders>
          </w:tcPr>
          <w:p w14:paraId="09110153">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371006B6">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为了满足高可靠性要求，控制中心应支持集群部署，集群功能不需要依赖外置设备，如负载均衡等；为了满足集群环境下节点故障后剩余节点仍能接管所有业务，需支持授权漂移；</w:t>
            </w:r>
          </w:p>
        </w:tc>
        <w:tc>
          <w:tcPr>
            <w:tcW w:w="731" w:type="pct"/>
            <w:tcBorders>
              <w:top w:val="single" w:color="auto" w:sz="4" w:space="0"/>
              <w:left w:val="single" w:color="auto" w:sz="4" w:space="0"/>
              <w:bottom w:val="single" w:color="auto" w:sz="4" w:space="0"/>
              <w:right w:val="single" w:color="auto" w:sz="4" w:space="0"/>
            </w:tcBorders>
            <w:vAlign w:val="center"/>
          </w:tcPr>
          <w:p w14:paraId="48CAFC9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79AC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7" w:type="pct"/>
            <w:tcBorders>
              <w:top w:val="single" w:color="auto" w:sz="4" w:space="0"/>
              <w:left w:val="single" w:color="auto" w:sz="4" w:space="0"/>
              <w:bottom w:val="single" w:color="auto" w:sz="4" w:space="0"/>
              <w:right w:val="single" w:color="auto" w:sz="4" w:space="0"/>
            </w:tcBorders>
            <w:vAlign w:val="center"/>
          </w:tcPr>
          <w:p w14:paraId="1DC86E24">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46CAB88D">
            <w:pPr>
              <w:widowControl w:val="0"/>
              <w:spacing w:line="360" w:lineRule="auto"/>
              <w:jc w:val="center"/>
              <w:rPr>
                <w:rFonts w:hint="eastAsia" w:cs="Times New Roman"/>
                <w:kern w:val="2"/>
                <w:sz w:val="21"/>
                <w:szCs w:val="21"/>
                <w14:ligatures w14:val="standardContextual"/>
              </w:rPr>
            </w:pPr>
            <w:r>
              <w:rPr>
                <w:rFonts w:cs="Times New Roman"/>
                <w:kern w:val="2"/>
                <w:sz w:val="21"/>
                <w:szCs w:val="21"/>
                <w14:ligatures w14:val="standardContextual"/>
              </w:rPr>
              <w:t>★</w:t>
            </w:r>
          </w:p>
        </w:tc>
        <w:tc>
          <w:tcPr>
            <w:tcW w:w="855" w:type="pct"/>
            <w:tcBorders>
              <w:top w:val="single" w:color="auto" w:sz="4" w:space="0"/>
              <w:left w:val="single" w:color="auto" w:sz="4" w:space="0"/>
              <w:bottom w:val="single" w:color="auto" w:sz="4" w:space="0"/>
              <w:right w:val="single" w:color="auto" w:sz="4" w:space="0"/>
            </w:tcBorders>
            <w:vAlign w:val="center"/>
          </w:tcPr>
          <w:p w14:paraId="32EF5F8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授权</w:t>
            </w:r>
          </w:p>
        </w:tc>
        <w:tc>
          <w:tcPr>
            <w:tcW w:w="2648" w:type="pct"/>
            <w:tcBorders>
              <w:top w:val="single" w:color="auto" w:sz="4" w:space="0"/>
              <w:left w:val="single" w:color="auto" w:sz="4" w:space="0"/>
              <w:bottom w:val="single" w:color="auto" w:sz="4" w:space="0"/>
              <w:right w:val="single" w:color="auto" w:sz="4" w:space="0"/>
            </w:tcBorders>
            <w:vAlign w:val="center"/>
          </w:tcPr>
          <w:p w14:paraId="130700B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1700并发用户授权</w:t>
            </w:r>
          </w:p>
        </w:tc>
        <w:tc>
          <w:tcPr>
            <w:tcW w:w="731" w:type="pct"/>
            <w:tcBorders>
              <w:top w:val="single" w:color="auto" w:sz="4" w:space="0"/>
              <w:left w:val="single" w:color="auto" w:sz="4" w:space="0"/>
              <w:bottom w:val="single" w:color="auto" w:sz="4" w:space="0"/>
              <w:right w:val="single" w:color="auto" w:sz="4" w:space="0"/>
            </w:tcBorders>
            <w:vAlign w:val="center"/>
          </w:tcPr>
          <w:p w14:paraId="098ED1B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152B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27" w:type="pct"/>
            <w:tcBorders>
              <w:top w:val="single" w:color="auto" w:sz="4" w:space="0"/>
              <w:left w:val="single" w:color="auto" w:sz="4" w:space="0"/>
              <w:bottom w:val="single" w:color="auto" w:sz="4" w:space="0"/>
              <w:right w:val="single" w:color="auto" w:sz="4" w:space="0"/>
            </w:tcBorders>
            <w:vAlign w:val="center"/>
          </w:tcPr>
          <w:p w14:paraId="302D53F1">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19900985">
            <w:pPr>
              <w:widowControl w:val="0"/>
              <w:spacing w:line="360" w:lineRule="auto"/>
              <w:jc w:val="center"/>
              <w:rPr>
                <w:rFonts w:hint="eastAsia" w:cs="Times New Roman"/>
                <w:kern w:val="2"/>
                <w:sz w:val="21"/>
                <w:szCs w:val="21"/>
                <w14:ligatures w14:val="standardContextual"/>
              </w:rPr>
            </w:pPr>
          </w:p>
        </w:tc>
        <w:tc>
          <w:tcPr>
            <w:tcW w:w="855" w:type="pct"/>
            <w:vMerge w:val="restart"/>
            <w:tcBorders>
              <w:top w:val="single" w:color="auto" w:sz="4" w:space="0"/>
              <w:left w:val="single" w:color="auto" w:sz="4" w:space="0"/>
              <w:right w:val="single" w:color="auto" w:sz="4" w:space="0"/>
            </w:tcBorders>
            <w:vAlign w:val="center"/>
          </w:tcPr>
          <w:p w14:paraId="61A32BD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功能要求</w:t>
            </w:r>
          </w:p>
        </w:tc>
        <w:tc>
          <w:tcPr>
            <w:tcW w:w="2648" w:type="pct"/>
            <w:tcBorders>
              <w:top w:val="single" w:color="auto" w:sz="4" w:space="0"/>
              <w:left w:val="single" w:color="auto" w:sz="4" w:space="0"/>
              <w:bottom w:val="single" w:color="auto" w:sz="4" w:space="0"/>
              <w:right w:val="single" w:color="auto" w:sz="4" w:space="0"/>
            </w:tcBorders>
            <w:vAlign w:val="center"/>
          </w:tcPr>
          <w:p w14:paraId="37A7574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为了提升员工使用体验，便于用户无感接入，控制中心应支持跨平台免插件访问，支持多资源（http/https/websocket等）免客户端接入；</w:t>
            </w:r>
          </w:p>
        </w:tc>
        <w:tc>
          <w:tcPr>
            <w:tcW w:w="731" w:type="pct"/>
            <w:tcBorders>
              <w:top w:val="single" w:color="auto" w:sz="4" w:space="0"/>
              <w:left w:val="single" w:color="auto" w:sz="4" w:space="0"/>
              <w:bottom w:val="single" w:color="auto" w:sz="4" w:space="0"/>
              <w:right w:val="single" w:color="auto" w:sz="4" w:space="0"/>
            </w:tcBorders>
            <w:vAlign w:val="center"/>
          </w:tcPr>
          <w:p w14:paraId="227F9F4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113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27" w:type="pct"/>
            <w:tcBorders>
              <w:top w:val="single" w:color="auto" w:sz="4" w:space="0"/>
              <w:left w:val="single" w:color="auto" w:sz="4" w:space="0"/>
              <w:bottom w:val="single" w:color="auto" w:sz="4" w:space="0"/>
              <w:right w:val="single" w:color="auto" w:sz="4" w:space="0"/>
            </w:tcBorders>
            <w:vAlign w:val="center"/>
          </w:tcPr>
          <w:p w14:paraId="774BB253">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5B9FABEC">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1E75E0C4">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378678A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支持站点智能梳理</w:t>
            </w:r>
          </w:p>
          <w:p w14:paraId="67CAF72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1、支持使用自动改写采集的方式梳理依赖站点；</w:t>
            </w:r>
          </w:p>
          <w:p w14:paraId="4DBA2EF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2、支持依赖站点一键启用，自动采集便于业务快速上线，简化运维工作；</w:t>
            </w:r>
          </w:p>
        </w:tc>
        <w:tc>
          <w:tcPr>
            <w:tcW w:w="731" w:type="pct"/>
            <w:tcBorders>
              <w:top w:val="single" w:color="auto" w:sz="4" w:space="0"/>
              <w:left w:val="single" w:color="auto" w:sz="4" w:space="0"/>
              <w:bottom w:val="single" w:color="auto" w:sz="4" w:space="0"/>
              <w:right w:val="single" w:color="auto" w:sz="4" w:space="0"/>
            </w:tcBorders>
            <w:vAlign w:val="center"/>
          </w:tcPr>
          <w:p w14:paraId="3E68BB4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4B8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327" w:type="pct"/>
            <w:tcBorders>
              <w:top w:val="single" w:color="auto" w:sz="4" w:space="0"/>
              <w:left w:val="single" w:color="auto" w:sz="4" w:space="0"/>
              <w:bottom w:val="single" w:color="auto" w:sz="4" w:space="0"/>
              <w:right w:val="single" w:color="auto" w:sz="4" w:space="0"/>
            </w:tcBorders>
            <w:vAlign w:val="center"/>
          </w:tcPr>
          <w:p w14:paraId="5CA3DAB8">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705C3FF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5" w:type="pct"/>
            <w:vMerge w:val="continue"/>
            <w:tcBorders>
              <w:left w:val="single" w:color="auto" w:sz="4" w:space="0"/>
              <w:right w:val="single" w:color="auto" w:sz="4" w:space="0"/>
            </w:tcBorders>
          </w:tcPr>
          <w:p w14:paraId="067BE073">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6A33642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为了不改变员工原有使用习惯，保障员工的使用体验，需支持以下主流浏览器访问WEB资源：</w:t>
            </w:r>
          </w:p>
          <w:p w14:paraId="42F0DAC7">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1、支持IE8及以上版本浏览器访问WEB资源</w:t>
            </w:r>
          </w:p>
          <w:p w14:paraId="488AEBB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2、支持Chrome 69及以上版本访问WEB资源</w:t>
            </w:r>
          </w:p>
          <w:p w14:paraId="2C494A3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3、支持Edge、Firefox、Opera、Safari等其他主流浏览器访问WEB资源</w:t>
            </w:r>
          </w:p>
          <w:p w14:paraId="3843398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4、支持微信内置浏览器、钉钉内置浏览器访问WEB资源</w:t>
            </w:r>
          </w:p>
          <w:p w14:paraId="4D4603B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5、支持Android、iOS各大手机厂商的自带浏览器访问WEB资源</w:t>
            </w:r>
          </w:p>
          <w:p w14:paraId="750DECE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6、支持国产操作系统浏览器接入并访问WEB资源</w:t>
            </w:r>
          </w:p>
        </w:tc>
        <w:tc>
          <w:tcPr>
            <w:tcW w:w="731" w:type="pct"/>
            <w:tcBorders>
              <w:top w:val="single" w:color="auto" w:sz="4" w:space="0"/>
              <w:left w:val="single" w:color="auto" w:sz="4" w:space="0"/>
              <w:bottom w:val="single" w:color="auto" w:sz="4" w:space="0"/>
              <w:right w:val="single" w:color="auto" w:sz="4" w:space="0"/>
            </w:tcBorders>
            <w:vAlign w:val="center"/>
          </w:tcPr>
          <w:p w14:paraId="6C220D2F">
            <w:pPr>
              <w:widowControl w:val="0"/>
              <w:spacing w:line="360" w:lineRule="auto"/>
              <w:jc w:val="center"/>
              <w:rPr>
                <w:rFonts w:hint="eastAsia" w:cs="Times New Roman"/>
                <w:kern w:val="2"/>
                <w:sz w:val="21"/>
                <w:szCs w:val="21"/>
                <w14:ligatures w14:val="standardContextual"/>
              </w:rPr>
            </w:pPr>
            <w:bookmarkStart w:id="1867" w:name="OLE_LINK80"/>
            <w:r>
              <w:rPr>
                <w:rFonts w:hint="eastAsia" w:cs="Times New Roman"/>
                <w:kern w:val="2"/>
                <w:sz w:val="21"/>
                <w:szCs w:val="21"/>
                <w14:ligatures w14:val="standardContextual"/>
              </w:rPr>
              <w:t>否</w:t>
            </w:r>
            <w:bookmarkEnd w:id="1867"/>
          </w:p>
        </w:tc>
      </w:tr>
      <w:tr w14:paraId="17FD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27" w:type="pct"/>
            <w:tcBorders>
              <w:top w:val="single" w:color="auto" w:sz="4" w:space="0"/>
              <w:left w:val="single" w:color="auto" w:sz="4" w:space="0"/>
              <w:bottom w:val="single" w:color="auto" w:sz="4" w:space="0"/>
              <w:right w:val="single" w:color="auto" w:sz="4" w:space="0"/>
            </w:tcBorders>
            <w:vAlign w:val="center"/>
          </w:tcPr>
          <w:p w14:paraId="091FEB6C">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7C88B562">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2E523F05">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15D1473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为满足单位多样化安全便捷认证需求，控制中心在不需要额外搭建认证平台、认证组件的情况下便可支持以下认证方式：本地账号密码认证、LDAP/AD认证、OAuth2.0标准协议的票据认证、CAS标准协议的票据认证、证书认证、HTTP(S)短信认证、腾讯云短信网关、阿里云短信网关、标准Radius令牌认证、本地OTP动态令牌认证等认证方式，并可与企业微信、阿里钉钉、飞书结合实现扫码认证，支持飞书用户或个人微信企业号通过H5接入。</w:t>
            </w:r>
          </w:p>
        </w:tc>
        <w:tc>
          <w:tcPr>
            <w:tcW w:w="731" w:type="pct"/>
            <w:tcBorders>
              <w:top w:val="single" w:color="auto" w:sz="4" w:space="0"/>
              <w:left w:val="single" w:color="auto" w:sz="4" w:space="0"/>
              <w:bottom w:val="single" w:color="auto" w:sz="4" w:space="0"/>
              <w:right w:val="single" w:color="auto" w:sz="4" w:space="0"/>
            </w:tcBorders>
            <w:vAlign w:val="center"/>
          </w:tcPr>
          <w:p w14:paraId="44BB63EB">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44B3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27" w:type="pct"/>
            <w:tcBorders>
              <w:top w:val="single" w:color="auto" w:sz="4" w:space="0"/>
              <w:left w:val="single" w:color="auto" w:sz="4" w:space="0"/>
              <w:bottom w:val="single" w:color="auto" w:sz="4" w:space="0"/>
              <w:right w:val="single" w:color="auto" w:sz="4" w:space="0"/>
            </w:tcBorders>
            <w:vAlign w:val="center"/>
          </w:tcPr>
          <w:p w14:paraId="22311890">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4B3AEA3B">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3744584D">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24E3D1C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为提高员工使用体验，需进一步简化登录操作，需支持能够支持即使是关机重启，也能自动拉起客户端并自动登录一键上线（强制注销情况除外）。</w:t>
            </w:r>
          </w:p>
          <w:p w14:paraId="66BC431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（需提供产品界面截图</w:t>
            </w:r>
            <w:r>
              <w:rPr>
                <w:rFonts w:hint="eastAsia" w:ascii="等线" w:cs="Times New Roman"/>
                <w:kern w:val="2"/>
                <w:sz w:val="21"/>
                <w:szCs w:val="21"/>
                <w14:ligatures w14:val="standardContextual"/>
              </w:rPr>
              <w:t>）</w:t>
            </w:r>
          </w:p>
        </w:tc>
        <w:tc>
          <w:tcPr>
            <w:tcW w:w="731" w:type="pct"/>
            <w:tcBorders>
              <w:top w:val="single" w:color="auto" w:sz="4" w:space="0"/>
              <w:left w:val="single" w:color="auto" w:sz="4" w:space="0"/>
              <w:bottom w:val="single" w:color="auto" w:sz="4" w:space="0"/>
              <w:right w:val="single" w:color="auto" w:sz="4" w:space="0"/>
            </w:tcBorders>
            <w:vAlign w:val="center"/>
          </w:tcPr>
          <w:p w14:paraId="3CC834F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3186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27" w:type="pct"/>
            <w:tcBorders>
              <w:top w:val="single" w:color="auto" w:sz="4" w:space="0"/>
              <w:left w:val="single" w:color="auto" w:sz="4" w:space="0"/>
              <w:bottom w:val="single" w:color="auto" w:sz="4" w:space="0"/>
              <w:right w:val="single" w:color="auto" w:sz="4" w:space="0"/>
            </w:tcBorders>
            <w:vAlign w:val="center"/>
          </w:tcPr>
          <w:p w14:paraId="7C82721E">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756059ED">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43B72FE3">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47745BD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支持异常环境下，要求增强认证，异常环境包括：</w:t>
            </w:r>
          </w:p>
          <w:p w14:paraId="7EF9F91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*异常时间段；</w:t>
            </w:r>
          </w:p>
          <w:p w14:paraId="0E9E257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*异地登陆</w:t>
            </w:r>
          </w:p>
          <w:p w14:paraId="36F6283F">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*弱密码</w:t>
            </w:r>
          </w:p>
        </w:tc>
        <w:tc>
          <w:tcPr>
            <w:tcW w:w="731" w:type="pct"/>
            <w:tcBorders>
              <w:top w:val="single" w:color="auto" w:sz="4" w:space="0"/>
              <w:left w:val="single" w:color="auto" w:sz="4" w:space="0"/>
              <w:bottom w:val="single" w:color="auto" w:sz="4" w:space="0"/>
              <w:right w:val="single" w:color="auto" w:sz="4" w:space="0"/>
            </w:tcBorders>
            <w:vAlign w:val="center"/>
          </w:tcPr>
          <w:p w14:paraId="22044C6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3F71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27" w:type="pct"/>
            <w:tcBorders>
              <w:top w:val="single" w:color="auto" w:sz="4" w:space="0"/>
              <w:left w:val="single" w:color="auto" w:sz="4" w:space="0"/>
              <w:bottom w:val="single" w:color="auto" w:sz="4" w:space="0"/>
              <w:right w:val="single" w:color="auto" w:sz="4" w:space="0"/>
            </w:tcBorders>
            <w:vAlign w:val="center"/>
          </w:tcPr>
          <w:p w14:paraId="3C9979D5">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7FFB5F0B">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678F9A3B">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21E168C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支持基于不同的应用，针对用户信息设定访问控制策略，包括：</w:t>
            </w:r>
          </w:p>
          <w:p w14:paraId="686B142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1、是否为授信终端</w:t>
            </w:r>
          </w:p>
          <w:p w14:paraId="7466919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2、访问应用进程的信任状态</w:t>
            </w:r>
          </w:p>
          <w:p w14:paraId="00D90F49">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3、接入的网络区域</w:t>
            </w:r>
          </w:p>
          <w:p w14:paraId="55FF7BE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4、是否为异常时间段登录</w:t>
            </w:r>
          </w:p>
          <w:p w14:paraId="2824F46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5、是否为授信域环境</w:t>
            </w:r>
          </w:p>
          <w:p w14:paraId="08A63C9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6、是否为异地登录</w:t>
            </w:r>
          </w:p>
          <w:p w14:paraId="36CFAD6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7、是否为弱密码登录</w:t>
            </w:r>
          </w:p>
          <w:p w14:paraId="714B3B1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（需提供产品界面截图</w:t>
            </w:r>
            <w:r>
              <w:rPr>
                <w:rFonts w:hint="eastAsia" w:ascii="等线" w:cs="Times New Roman"/>
                <w:kern w:val="2"/>
                <w:sz w:val="21"/>
                <w:szCs w:val="21"/>
                <w14:ligatures w14:val="standardContextual"/>
              </w:rPr>
              <w:t>）</w:t>
            </w:r>
          </w:p>
        </w:tc>
        <w:tc>
          <w:tcPr>
            <w:tcW w:w="731" w:type="pct"/>
            <w:tcBorders>
              <w:top w:val="single" w:color="auto" w:sz="4" w:space="0"/>
              <w:left w:val="single" w:color="auto" w:sz="4" w:space="0"/>
              <w:bottom w:val="single" w:color="auto" w:sz="4" w:space="0"/>
              <w:right w:val="single" w:color="auto" w:sz="4" w:space="0"/>
            </w:tcBorders>
            <w:vAlign w:val="center"/>
          </w:tcPr>
          <w:p w14:paraId="08A1B22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060A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27" w:type="pct"/>
            <w:tcBorders>
              <w:top w:val="single" w:color="auto" w:sz="4" w:space="0"/>
              <w:left w:val="single" w:color="auto" w:sz="4" w:space="0"/>
              <w:bottom w:val="single" w:color="auto" w:sz="4" w:space="0"/>
              <w:right w:val="single" w:color="auto" w:sz="4" w:space="0"/>
            </w:tcBorders>
            <w:vAlign w:val="center"/>
          </w:tcPr>
          <w:p w14:paraId="2EE078CC">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7B66647D">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55B2BBC7">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4BBA5BD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支持针对不同的B/S应用开启WEB水印</w:t>
            </w:r>
          </w:p>
          <w:p w14:paraId="1DB12E3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水印内容包括：用户名+当前日期</w:t>
            </w:r>
          </w:p>
          <w:p w14:paraId="76FD8A2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具有威慑作用，有效预防数据泄露</w:t>
            </w:r>
          </w:p>
        </w:tc>
        <w:tc>
          <w:tcPr>
            <w:tcW w:w="731" w:type="pct"/>
            <w:tcBorders>
              <w:top w:val="single" w:color="auto" w:sz="4" w:space="0"/>
              <w:left w:val="single" w:color="auto" w:sz="4" w:space="0"/>
              <w:bottom w:val="single" w:color="auto" w:sz="4" w:space="0"/>
              <w:right w:val="single" w:color="auto" w:sz="4" w:space="0"/>
            </w:tcBorders>
            <w:vAlign w:val="center"/>
          </w:tcPr>
          <w:p w14:paraId="3EA3037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5411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27" w:type="pct"/>
            <w:tcBorders>
              <w:top w:val="single" w:color="auto" w:sz="4" w:space="0"/>
              <w:left w:val="single" w:color="auto" w:sz="4" w:space="0"/>
              <w:bottom w:val="single" w:color="auto" w:sz="4" w:space="0"/>
              <w:right w:val="single" w:color="auto" w:sz="4" w:space="0"/>
            </w:tcBorders>
            <w:vAlign w:val="center"/>
          </w:tcPr>
          <w:p w14:paraId="0889C736">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3BE4D708">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3A702545">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5B24E86D">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支持将进程的可信状态作为访问控制评估条件，配置应用访问策略。限制仅可信的进程可访问指定的应用，或不可信的进程阻止访问。（需提供产品界面截图</w:t>
            </w:r>
            <w:r>
              <w:rPr>
                <w:rFonts w:hint="eastAsia" w:ascii="等线" w:cs="Times New Roman"/>
                <w:kern w:val="2"/>
                <w:sz w:val="21"/>
                <w:szCs w:val="21"/>
                <w14:ligatures w14:val="standardContextual"/>
              </w:rPr>
              <w:t>）</w:t>
            </w:r>
          </w:p>
        </w:tc>
        <w:tc>
          <w:tcPr>
            <w:tcW w:w="731" w:type="pct"/>
            <w:tcBorders>
              <w:top w:val="single" w:color="auto" w:sz="4" w:space="0"/>
              <w:left w:val="single" w:color="auto" w:sz="4" w:space="0"/>
              <w:bottom w:val="single" w:color="auto" w:sz="4" w:space="0"/>
              <w:right w:val="single" w:color="auto" w:sz="4" w:space="0"/>
            </w:tcBorders>
            <w:vAlign w:val="center"/>
          </w:tcPr>
          <w:p w14:paraId="16294180">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29B4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27" w:type="pct"/>
            <w:tcBorders>
              <w:top w:val="single" w:color="auto" w:sz="4" w:space="0"/>
              <w:left w:val="single" w:color="auto" w:sz="4" w:space="0"/>
              <w:bottom w:val="single" w:color="auto" w:sz="4" w:space="0"/>
              <w:right w:val="single" w:color="auto" w:sz="4" w:space="0"/>
            </w:tcBorders>
            <w:vAlign w:val="center"/>
          </w:tcPr>
          <w:p w14:paraId="6D6B1476">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35684BE6">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5A3FC2EB">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2C8ABB8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支持员工权限的申请和审批，正式运行时，未获得授权的员工访问提供申请和管理员审批机制（支持管理员分级分权审批，符合业务安全要求），防止员工权限过大，同时简化权限运维工作；</w:t>
            </w:r>
          </w:p>
        </w:tc>
        <w:tc>
          <w:tcPr>
            <w:tcW w:w="731" w:type="pct"/>
            <w:tcBorders>
              <w:top w:val="single" w:color="auto" w:sz="4" w:space="0"/>
              <w:left w:val="single" w:color="auto" w:sz="4" w:space="0"/>
              <w:bottom w:val="single" w:color="auto" w:sz="4" w:space="0"/>
              <w:right w:val="single" w:color="auto" w:sz="4" w:space="0"/>
            </w:tcBorders>
            <w:vAlign w:val="center"/>
          </w:tcPr>
          <w:p w14:paraId="001D613C">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7040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327" w:type="pct"/>
            <w:tcBorders>
              <w:top w:val="single" w:color="auto" w:sz="4" w:space="0"/>
              <w:left w:val="single" w:color="auto" w:sz="4" w:space="0"/>
              <w:bottom w:val="single" w:color="auto" w:sz="4" w:space="0"/>
              <w:right w:val="single" w:color="auto" w:sz="4" w:space="0"/>
            </w:tcBorders>
            <w:vAlign w:val="center"/>
          </w:tcPr>
          <w:p w14:paraId="30D91868">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7EB960F6">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6ADF1EC1">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1835E15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为了最大程度缩小网络、业务暴露面，零信任平台需提供SPA（单包授权机制）</w:t>
            </w:r>
          </w:p>
          <w:p w14:paraId="67A49651">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即可支持所有用户都必须安装安全专属客户端，经过SPA鉴权之后才能够访问认证登录界面，支持配置源IP地址白名单，白名单内的IP可正常访问</w:t>
            </w:r>
          </w:p>
        </w:tc>
        <w:tc>
          <w:tcPr>
            <w:tcW w:w="731" w:type="pct"/>
            <w:tcBorders>
              <w:top w:val="single" w:color="auto" w:sz="4" w:space="0"/>
              <w:left w:val="single" w:color="auto" w:sz="4" w:space="0"/>
              <w:bottom w:val="single" w:color="auto" w:sz="4" w:space="0"/>
              <w:right w:val="single" w:color="auto" w:sz="4" w:space="0"/>
            </w:tcBorders>
            <w:vAlign w:val="center"/>
          </w:tcPr>
          <w:p w14:paraId="3CF8B60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1DEB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27" w:type="pct"/>
            <w:tcBorders>
              <w:top w:val="single" w:color="auto" w:sz="4" w:space="0"/>
              <w:left w:val="single" w:color="auto" w:sz="4" w:space="0"/>
              <w:bottom w:val="single" w:color="auto" w:sz="4" w:space="0"/>
              <w:right w:val="single" w:color="auto" w:sz="4" w:space="0"/>
            </w:tcBorders>
            <w:vAlign w:val="center"/>
          </w:tcPr>
          <w:p w14:paraId="1425A19E">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4AEFF23D">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7BBAEBFD">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34AFC782">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1、支持用户登录日志（登录、注销，含MAC地址、终端类型、浏览器类型等）</w:t>
            </w:r>
          </w:p>
          <w:p w14:paraId="23AE2DB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2、支持管理员操作日志（含管理员、接入IP、时间、管理行为、对象）</w:t>
            </w:r>
          </w:p>
          <w:p w14:paraId="29F94E7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3、支持资源访问日志（用户、源IP、URL、时间）</w:t>
            </w:r>
          </w:p>
        </w:tc>
        <w:tc>
          <w:tcPr>
            <w:tcW w:w="731" w:type="pct"/>
            <w:tcBorders>
              <w:top w:val="single" w:color="auto" w:sz="4" w:space="0"/>
              <w:left w:val="single" w:color="auto" w:sz="4" w:space="0"/>
              <w:bottom w:val="single" w:color="auto" w:sz="4" w:space="0"/>
              <w:right w:val="single" w:color="auto" w:sz="4" w:space="0"/>
            </w:tcBorders>
            <w:vAlign w:val="center"/>
          </w:tcPr>
          <w:p w14:paraId="059612FA">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5192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327" w:type="pct"/>
            <w:tcBorders>
              <w:top w:val="single" w:color="auto" w:sz="4" w:space="0"/>
              <w:left w:val="single" w:color="auto" w:sz="4" w:space="0"/>
              <w:bottom w:val="single" w:color="auto" w:sz="4" w:space="0"/>
              <w:right w:val="single" w:color="auto" w:sz="4" w:space="0"/>
            </w:tcBorders>
            <w:vAlign w:val="center"/>
          </w:tcPr>
          <w:p w14:paraId="459EB418">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05E9DE6C">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1A4C4DA9">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05D713AC">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为了满足单位有序平滑、推广零信任接入，需支持零信任客户端的按需灰度升级。</w:t>
            </w:r>
          </w:p>
          <w:p w14:paraId="1A13960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1、支持控制台配置灰度升级策略（仅为升级推广策略配置，并非强制升级策略；策略支持每日升级上限、升级客户端总数、升级持续时间条件）</w:t>
            </w:r>
          </w:p>
          <w:p w14:paraId="37C7811E">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2、支持查看灰度升级进度：（近七天客户端灰度升级数量、客户端升级数量占比）</w:t>
            </w:r>
          </w:p>
          <w:p w14:paraId="4DC04E09">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3、支持灰度升级状态自动从灰度升级转换为全面升级。（需提供产品界面截图</w:t>
            </w:r>
            <w:r>
              <w:rPr>
                <w:rFonts w:hint="eastAsia" w:ascii="等线" w:cs="Times New Roman"/>
                <w:kern w:val="2"/>
                <w:sz w:val="21"/>
                <w:szCs w:val="21"/>
                <w14:ligatures w14:val="standardContextual"/>
              </w:rPr>
              <w:t>）</w:t>
            </w:r>
          </w:p>
        </w:tc>
        <w:tc>
          <w:tcPr>
            <w:tcW w:w="731" w:type="pct"/>
            <w:tcBorders>
              <w:top w:val="single" w:color="auto" w:sz="4" w:space="0"/>
              <w:left w:val="single" w:color="auto" w:sz="4" w:space="0"/>
              <w:bottom w:val="single" w:color="auto" w:sz="4" w:space="0"/>
              <w:right w:val="single" w:color="auto" w:sz="4" w:space="0"/>
            </w:tcBorders>
            <w:vAlign w:val="center"/>
          </w:tcPr>
          <w:p w14:paraId="09AE4F5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457C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327" w:type="pct"/>
            <w:tcBorders>
              <w:top w:val="single" w:color="auto" w:sz="4" w:space="0"/>
              <w:left w:val="single" w:color="auto" w:sz="4" w:space="0"/>
              <w:bottom w:val="single" w:color="auto" w:sz="4" w:space="0"/>
              <w:right w:val="single" w:color="auto" w:sz="4" w:space="0"/>
            </w:tcBorders>
            <w:vAlign w:val="center"/>
          </w:tcPr>
          <w:p w14:paraId="5AA5F421">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63EBF401">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right w:val="single" w:color="auto" w:sz="4" w:space="0"/>
            </w:tcBorders>
          </w:tcPr>
          <w:p w14:paraId="2705D55E">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0FE35490">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1. 支持检测长时间未使用的闲置账号：闲置账号是创建后长时间未使用、长时间不登录、登录后长时间不使用(登录后长时间没有资源访问或注销)</w:t>
            </w:r>
          </w:p>
          <w:p w14:paraId="74404A9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2. 闲置的时长可自定义配置，默认90天，可配置1-365天。</w:t>
            </w:r>
          </w:p>
          <w:p w14:paraId="7686302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3. 可设置检测闲置账号后是否自动锁定，默认不锁定。锁定后可手动恢复，恢复后用户的闲置时间将被重置清0。</w:t>
            </w:r>
          </w:p>
          <w:p w14:paraId="7A8B5D5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4. 闲置账号仅对于本地用户生效，即本地用户目录和外部已导入本地的用户。</w:t>
            </w:r>
          </w:p>
        </w:tc>
        <w:tc>
          <w:tcPr>
            <w:tcW w:w="731" w:type="pct"/>
            <w:tcBorders>
              <w:top w:val="single" w:color="auto" w:sz="4" w:space="0"/>
              <w:left w:val="single" w:color="auto" w:sz="4" w:space="0"/>
              <w:bottom w:val="single" w:color="auto" w:sz="4" w:space="0"/>
              <w:right w:val="single" w:color="auto" w:sz="4" w:space="0"/>
            </w:tcBorders>
            <w:vAlign w:val="center"/>
          </w:tcPr>
          <w:p w14:paraId="17CF2CA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0238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27" w:type="pct"/>
            <w:tcBorders>
              <w:top w:val="single" w:color="auto" w:sz="4" w:space="0"/>
              <w:left w:val="single" w:color="auto" w:sz="4" w:space="0"/>
              <w:bottom w:val="single" w:color="auto" w:sz="4" w:space="0"/>
              <w:right w:val="single" w:color="auto" w:sz="4" w:space="0"/>
            </w:tcBorders>
            <w:vAlign w:val="center"/>
          </w:tcPr>
          <w:p w14:paraId="72030EC2">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1D6FBAE0">
            <w:pPr>
              <w:widowControl w:val="0"/>
              <w:spacing w:line="360" w:lineRule="auto"/>
              <w:jc w:val="center"/>
              <w:rPr>
                <w:rFonts w:hint="eastAsia" w:cs="Times New Roman"/>
                <w:kern w:val="2"/>
                <w:sz w:val="21"/>
                <w:szCs w:val="21"/>
                <w14:ligatures w14:val="standardContextual"/>
              </w:rPr>
            </w:pPr>
          </w:p>
        </w:tc>
        <w:tc>
          <w:tcPr>
            <w:tcW w:w="855" w:type="pct"/>
            <w:vMerge w:val="continue"/>
            <w:tcBorders>
              <w:left w:val="single" w:color="auto" w:sz="4" w:space="0"/>
              <w:bottom w:val="single" w:color="auto" w:sz="4" w:space="0"/>
              <w:right w:val="single" w:color="auto" w:sz="4" w:space="0"/>
            </w:tcBorders>
          </w:tcPr>
          <w:p w14:paraId="73A14084">
            <w:pPr>
              <w:widowControl w:val="0"/>
              <w:spacing w:line="360" w:lineRule="auto"/>
              <w:rPr>
                <w:rFonts w:hint="eastAsia" w:cs="Times New Roman"/>
                <w:kern w:val="2"/>
                <w:sz w:val="21"/>
                <w:szCs w:val="21"/>
                <w14:ligatures w14:val="standardContextual"/>
              </w:rPr>
            </w:pPr>
          </w:p>
        </w:tc>
        <w:tc>
          <w:tcPr>
            <w:tcW w:w="2648" w:type="pct"/>
            <w:tcBorders>
              <w:top w:val="single" w:color="auto" w:sz="4" w:space="0"/>
              <w:left w:val="single" w:color="auto" w:sz="4" w:space="0"/>
              <w:bottom w:val="single" w:color="auto" w:sz="4" w:space="0"/>
              <w:right w:val="single" w:color="auto" w:sz="4" w:space="0"/>
            </w:tcBorders>
            <w:vAlign w:val="center"/>
          </w:tcPr>
          <w:p w14:paraId="2637DA6A">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支持替换主题包，对登录页、产品logo、应用中心背景图进行替换，替换范围：</w:t>
            </w:r>
          </w:p>
          <w:p w14:paraId="072E5D1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1、登录页背景图片替换；</w:t>
            </w:r>
          </w:p>
          <w:p w14:paraId="024057F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2、logo图片的替换；</w:t>
            </w:r>
          </w:p>
          <w:p w14:paraId="6942889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3、浏览器标签角标的替换；</w:t>
            </w:r>
          </w:p>
          <w:p w14:paraId="333B4A1B">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4、产品组织名称与登录公告的替换；</w:t>
            </w:r>
          </w:p>
          <w:p w14:paraId="3AE691A3">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5、主题样式修改</w:t>
            </w:r>
          </w:p>
          <w:p w14:paraId="60F7657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6、隐藏隐私协议、隐藏下载客户端、隐藏温馨提示、修改温馨提示文案</w:t>
            </w:r>
          </w:p>
          <w:p w14:paraId="5C71F8A9">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7、增加外部链接：例如增加用户手册外链、帮助中心外部链接等。</w:t>
            </w:r>
          </w:p>
        </w:tc>
        <w:tc>
          <w:tcPr>
            <w:tcW w:w="731" w:type="pct"/>
            <w:tcBorders>
              <w:top w:val="single" w:color="auto" w:sz="4" w:space="0"/>
              <w:left w:val="single" w:color="auto" w:sz="4" w:space="0"/>
              <w:bottom w:val="single" w:color="auto" w:sz="4" w:space="0"/>
              <w:right w:val="single" w:color="auto" w:sz="4" w:space="0"/>
            </w:tcBorders>
            <w:vAlign w:val="center"/>
          </w:tcPr>
          <w:p w14:paraId="50DA818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65EA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327" w:type="pct"/>
            <w:tcBorders>
              <w:top w:val="single" w:color="auto" w:sz="4" w:space="0"/>
              <w:left w:val="single" w:color="auto" w:sz="4" w:space="0"/>
              <w:bottom w:val="single" w:color="auto" w:sz="4" w:space="0"/>
              <w:right w:val="single" w:color="auto" w:sz="4" w:space="0"/>
            </w:tcBorders>
            <w:vAlign w:val="center"/>
          </w:tcPr>
          <w:p w14:paraId="4C368584">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7009D6C1">
            <w:pPr>
              <w:widowControl w:val="0"/>
              <w:spacing w:line="360" w:lineRule="auto"/>
              <w:jc w:val="center"/>
              <w:rPr>
                <w:rFonts w:hint="eastAsia" w:cs="Times New Roman"/>
                <w:kern w:val="2"/>
                <w:sz w:val="21"/>
                <w:szCs w:val="21"/>
                <w14:ligatures w14:val="standardContextual"/>
              </w:rPr>
            </w:pPr>
          </w:p>
        </w:tc>
        <w:tc>
          <w:tcPr>
            <w:tcW w:w="855" w:type="pct"/>
            <w:tcBorders>
              <w:top w:val="single" w:color="auto" w:sz="4" w:space="0"/>
              <w:left w:val="single" w:color="auto" w:sz="4" w:space="0"/>
              <w:bottom w:val="single" w:color="auto" w:sz="4" w:space="0"/>
              <w:right w:val="single" w:color="auto" w:sz="4" w:space="0"/>
            </w:tcBorders>
            <w:vAlign w:val="center"/>
          </w:tcPr>
          <w:p w14:paraId="2A9E4D5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虚拟化部署</w:t>
            </w:r>
          </w:p>
        </w:tc>
        <w:tc>
          <w:tcPr>
            <w:tcW w:w="2648" w:type="pct"/>
            <w:tcBorders>
              <w:top w:val="single" w:color="auto" w:sz="4" w:space="0"/>
              <w:left w:val="single" w:color="auto" w:sz="4" w:space="0"/>
              <w:bottom w:val="single" w:color="auto" w:sz="4" w:space="0"/>
              <w:right w:val="single" w:color="auto" w:sz="4" w:space="0"/>
            </w:tcBorders>
            <w:vAlign w:val="center"/>
          </w:tcPr>
          <w:p w14:paraId="5F339895">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通过虚拟化部署，可兼容主流虚拟化平台。兼容招标人现有虚拟化平台。</w:t>
            </w:r>
          </w:p>
        </w:tc>
        <w:tc>
          <w:tcPr>
            <w:tcW w:w="731" w:type="pct"/>
            <w:tcBorders>
              <w:top w:val="single" w:color="auto" w:sz="4" w:space="0"/>
              <w:left w:val="single" w:color="auto" w:sz="4" w:space="0"/>
              <w:bottom w:val="single" w:color="auto" w:sz="4" w:space="0"/>
              <w:right w:val="single" w:color="auto" w:sz="4" w:space="0"/>
            </w:tcBorders>
            <w:vAlign w:val="center"/>
          </w:tcPr>
          <w:p w14:paraId="7972F45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2420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27" w:type="pct"/>
            <w:tcBorders>
              <w:top w:val="single" w:color="auto" w:sz="4" w:space="0"/>
              <w:left w:val="single" w:color="auto" w:sz="4" w:space="0"/>
              <w:bottom w:val="single" w:color="auto" w:sz="4" w:space="0"/>
              <w:right w:val="single" w:color="auto" w:sz="4" w:space="0"/>
            </w:tcBorders>
            <w:vAlign w:val="center"/>
          </w:tcPr>
          <w:p w14:paraId="31B6F46B">
            <w:pPr>
              <w:widowControl w:val="0"/>
              <w:numPr>
                <w:ilvl w:val="0"/>
                <w:numId w:val="19"/>
              </w:numPr>
              <w:spacing w:line="360" w:lineRule="auto"/>
              <w:contextualSpacing/>
              <w:jc w:val="center"/>
              <w:rPr>
                <w:rFonts w:hint="eastAsia" w:cs="Times New Roman"/>
                <w:kern w:val="2"/>
                <w:sz w:val="21"/>
                <w:szCs w:val="21"/>
                <w14:ligatures w14:val="standardContextual"/>
              </w:rPr>
            </w:pPr>
          </w:p>
        </w:tc>
        <w:tc>
          <w:tcPr>
            <w:tcW w:w="439" w:type="pct"/>
            <w:tcBorders>
              <w:top w:val="single" w:color="auto" w:sz="4" w:space="0"/>
              <w:left w:val="single" w:color="auto" w:sz="4" w:space="0"/>
              <w:bottom w:val="single" w:color="auto" w:sz="4" w:space="0"/>
              <w:right w:val="single" w:color="auto" w:sz="4" w:space="0"/>
            </w:tcBorders>
            <w:vAlign w:val="center"/>
          </w:tcPr>
          <w:p w14:paraId="54F66C7D">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5" w:type="pct"/>
            <w:tcBorders>
              <w:top w:val="single" w:color="auto" w:sz="4" w:space="0"/>
              <w:left w:val="single" w:color="auto" w:sz="4" w:space="0"/>
              <w:bottom w:val="single" w:color="auto" w:sz="4" w:space="0"/>
              <w:right w:val="single" w:color="auto" w:sz="4" w:space="0"/>
            </w:tcBorders>
            <w:vAlign w:val="center"/>
          </w:tcPr>
          <w:p w14:paraId="7073D8D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兼容性</w:t>
            </w:r>
          </w:p>
        </w:tc>
        <w:tc>
          <w:tcPr>
            <w:tcW w:w="2648" w:type="pct"/>
            <w:tcBorders>
              <w:top w:val="single" w:color="auto" w:sz="4" w:space="0"/>
              <w:left w:val="single" w:color="auto" w:sz="4" w:space="0"/>
              <w:bottom w:val="single" w:color="auto" w:sz="4" w:space="0"/>
              <w:right w:val="single" w:color="auto" w:sz="4" w:space="0"/>
            </w:tcBorders>
            <w:vAlign w:val="center"/>
          </w:tcPr>
          <w:p w14:paraId="79741798">
            <w:pPr>
              <w:widowControl w:val="0"/>
              <w:spacing w:line="360" w:lineRule="auto"/>
              <w:rPr>
                <w:rFonts w:hint="eastAsia" w:cs="Times New Roman"/>
                <w:kern w:val="2"/>
                <w:sz w:val="21"/>
                <w:szCs w:val="21"/>
                <w14:ligatures w14:val="standardContextual"/>
              </w:rPr>
            </w:pPr>
            <w:r>
              <w:rPr>
                <w:rFonts w:hint="eastAsia" w:cs="Times New Roman"/>
                <w:kern w:val="2"/>
                <w:sz w:val="21"/>
                <w:szCs w:val="21"/>
                <w14:ligatures w14:val="standardContextual"/>
              </w:rPr>
              <w:t>需要与前期深信服零信任控制中心形成双机双活运行，可以与原设备共享授权资源，提供生产厂家承诺函。</w:t>
            </w:r>
          </w:p>
        </w:tc>
        <w:tc>
          <w:tcPr>
            <w:tcW w:w="731" w:type="pct"/>
            <w:tcBorders>
              <w:top w:val="single" w:color="auto" w:sz="4" w:space="0"/>
              <w:left w:val="single" w:color="auto" w:sz="4" w:space="0"/>
              <w:bottom w:val="single" w:color="auto" w:sz="4" w:space="0"/>
              <w:right w:val="single" w:color="auto" w:sz="4" w:space="0"/>
            </w:tcBorders>
            <w:vAlign w:val="center"/>
          </w:tcPr>
          <w:p w14:paraId="732D057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r w14:paraId="0F85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7" w:type="pct"/>
            <w:tcBorders>
              <w:top w:val="single" w:color="auto" w:sz="4" w:space="0"/>
              <w:left w:val="single" w:color="auto" w:sz="4" w:space="0"/>
              <w:bottom w:val="single" w:color="auto" w:sz="4" w:space="0"/>
              <w:right w:val="single" w:color="auto" w:sz="4" w:space="0"/>
            </w:tcBorders>
            <w:vAlign w:val="center"/>
          </w:tcPr>
          <w:p w14:paraId="75C86F2E">
            <w:pPr>
              <w:widowControl w:val="0"/>
              <w:numPr>
                <w:ilvl w:val="0"/>
                <w:numId w:val="19"/>
              </w:numPr>
              <w:spacing w:line="360" w:lineRule="auto"/>
              <w:contextualSpacing/>
              <w:jc w:val="center"/>
              <w:rPr>
                <w:rFonts w:hint="eastAsia" w:cs="Times New Roman"/>
                <w:kern w:val="2"/>
                <w:sz w:val="21"/>
                <w:szCs w:val="21"/>
                <w14:ligatures w14:val="standardContextual"/>
              </w:rPr>
            </w:pPr>
            <w:bookmarkStart w:id="1868" w:name="_Hlk201586078"/>
          </w:p>
        </w:tc>
        <w:tc>
          <w:tcPr>
            <w:tcW w:w="439" w:type="pct"/>
            <w:tcBorders>
              <w:top w:val="single" w:color="auto" w:sz="4" w:space="0"/>
              <w:left w:val="single" w:color="auto" w:sz="4" w:space="0"/>
              <w:bottom w:val="single" w:color="auto" w:sz="4" w:space="0"/>
              <w:right w:val="single" w:color="auto" w:sz="4" w:space="0"/>
            </w:tcBorders>
            <w:vAlign w:val="center"/>
          </w:tcPr>
          <w:p w14:paraId="13B47D63">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855" w:type="pct"/>
            <w:tcBorders>
              <w:top w:val="single" w:color="auto" w:sz="4" w:space="0"/>
              <w:left w:val="single" w:color="auto" w:sz="4" w:space="0"/>
              <w:bottom w:val="single" w:color="auto" w:sz="4" w:space="0"/>
              <w:right w:val="single" w:color="auto" w:sz="4" w:space="0"/>
            </w:tcBorders>
            <w:vAlign w:val="center"/>
          </w:tcPr>
          <w:p w14:paraId="7403C9EB">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服务</w:t>
            </w:r>
          </w:p>
        </w:tc>
        <w:tc>
          <w:tcPr>
            <w:tcW w:w="2648" w:type="pct"/>
            <w:tcBorders>
              <w:top w:val="single" w:color="auto" w:sz="4" w:space="0"/>
              <w:left w:val="single" w:color="auto" w:sz="4" w:space="0"/>
              <w:bottom w:val="single" w:color="auto" w:sz="4" w:space="0"/>
              <w:right w:val="single" w:color="auto" w:sz="4" w:space="0"/>
            </w:tcBorders>
            <w:vAlign w:val="center"/>
          </w:tcPr>
          <w:p w14:paraId="0C7EF089">
            <w:pPr>
              <w:widowControl w:val="0"/>
              <w:spacing w:line="360" w:lineRule="auto"/>
              <w:rPr>
                <w:rFonts w:hint="eastAsia" w:cs="Times New Roman"/>
                <w:kern w:val="2"/>
                <w:sz w:val="21"/>
                <w:szCs w:val="21"/>
                <w14:ligatures w14:val="standardContextual"/>
              </w:rPr>
            </w:pPr>
            <w:bookmarkStart w:id="1869" w:name="OLE_LINK25"/>
            <w:r>
              <w:rPr>
                <w:rFonts w:hint="eastAsia" w:cs="Times New Roman"/>
                <w:kern w:val="2"/>
                <w:sz w:val="21"/>
                <w:szCs w:val="21"/>
                <w14:ligatures w14:val="standardContextual"/>
              </w:rPr>
              <w:t>包含三年质保和升级服务，原厂工程师上门服务。（提供所投产品的制造商出具的授权书）</w:t>
            </w:r>
            <w:bookmarkEnd w:id="1869"/>
          </w:p>
        </w:tc>
        <w:tc>
          <w:tcPr>
            <w:tcW w:w="731" w:type="pct"/>
            <w:tcBorders>
              <w:top w:val="single" w:color="auto" w:sz="4" w:space="0"/>
              <w:left w:val="single" w:color="auto" w:sz="4" w:space="0"/>
              <w:bottom w:val="single" w:color="auto" w:sz="4" w:space="0"/>
              <w:right w:val="single" w:color="auto" w:sz="4" w:space="0"/>
            </w:tcBorders>
            <w:vAlign w:val="center"/>
          </w:tcPr>
          <w:p w14:paraId="12257CF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bookmarkEnd w:id="1868"/>
    </w:tbl>
    <w:p w14:paraId="50580E6E">
      <w:pPr>
        <w:keepNext/>
        <w:keepLines/>
        <w:widowControl w:val="0"/>
        <w:numPr>
          <w:ilvl w:val="3"/>
          <w:numId w:val="11"/>
        </w:numPr>
        <w:spacing w:line="360" w:lineRule="auto"/>
        <w:ind w:firstLine="200"/>
        <w:outlineLvl w:val="3"/>
        <w:rPr>
          <w:rFonts w:hint="eastAsia" w:ascii="等线 Light" w:hAnsi="等线 Light" w:cs="Times New Roman"/>
          <w:b/>
          <w:kern w:val="2"/>
          <w:sz w:val="21"/>
          <w:szCs w:val="21"/>
          <w14:ligatures w14:val="standardContextual"/>
        </w:rPr>
      </w:pPr>
      <w:r>
        <w:rPr>
          <w:rFonts w:hint="eastAsia" w:ascii="等线 Light" w:hAnsi="等线 Light" w:cs="Times New Roman"/>
          <w:b/>
          <w:kern w:val="2"/>
          <w:sz w:val="21"/>
          <w:szCs w:val="21"/>
          <w14:ligatures w14:val="standardContextual"/>
        </w:rPr>
        <w:t>零信任安全代理网关</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893"/>
        <w:gridCol w:w="1311"/>
        <w:gridCol w:w="4513"/>
        <w:gridCol w:w="1246"/>
      </w:tblGrid>
      <w:tr w14:paraId="6EDD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8" w:type="pct"/>
            <w:shd w:val="clear" w:color="auto" w:fill="ADADAD"/>
            <w:vAlign w:val="center"/>
          </w:tcPr>
          <w:p w14:paraId="54B84AD9">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序号</w:t>
            </w:r>
          </w:p>
        </w:tc>
        <w:tc>
          <w:tcPr>
            <w:tcW w:w="524" w:type="pct"/>
            <w:shd w:val="clear" w:color="auto" w:fill="ADADAD"/>
            <w:vAlign w:val="center"/>
          </w:tcPr>
          <w:p w14:paraId="11C469E6">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关键指标</w:t>
            </w:r>
          </w:p>
        </w:tc>
        <w:tc>
          <w:tcPr>
            <w:tcW w:w="769" w:type="pct"/>
            <w:shd w:val="clear" w:color="auto" w:fill="ADADAD"/>
            <w:vAlign w:val="center"/>
          </w:tcPr>
          <w:p w14:paraId="3CBDFFC5">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产品要求</w:t>
            </w:r>
          </w:p>
        </w:tc>
        <w:tc>
          <w:tcPr>
            <w:tcW w:w="2648" w:type="pct"/>
            <w:shd w:val="clear" w:color="auto" w:fill="ADADAD"/>
            <w:vAlign w:val="center"/>
          </w:tcPr>
          <w:p w14:paraId="6193A319">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技术参数</w:t>
            </w:r>
          </w:p>
        </w:tc>
        <w:tc>
          <w:tcPr>
            <w:tcW w:w="731" w:type="pct"/>
            <w:shd w:val="clear" w:color="auto" w:fill="ADADAD"/>
          </w:tcPr>
          <w:p w14:paraId="6AD9F4B3">
            <w:pPr>
              <w:widowControl w:val="0"/>
              <w:spacing w:line="360" w:lineRule="auto"/>
              <w:jc w:val="center"/>
              <w:rPr>
                <w:rFonts w:hint="eastAsia" w:cs="Times New Roman"/>
                <w:b/>
                <w:bCs/>
                <w:kern w:val="2"/>
                <w:sz w:val="21"/>
                <w:szCs w:val="21"/>
                <w14:ligatures w14:val="standardContextual"/>
              </w:rPr>
            </w:pPr>
            <w:r>
              <w:rPr>
                <w:rFonts w:hint="eastAsia" w:cs="Times New Roman"/>
                <w:b/>
                <w:bCs/>
                <w:kern w:val="2"/>
                <w:sz w:val="21"/>
                <w:szCs w:val="21"/>
                <w14:ligatures w14:val="standardContextual"/>
              </w:rPr>
              <w:t>证明材料是否要求</w:t>
            </w:r>
          </w:p>
        </w:tc>
      </w:tr>
      <w:tr w14:paraId="5D37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8" w:type="pct"/>
            <w:vAlign w:val="center"/>
          </w:tcPr>
          <w:p w14:paraId="7DE9F107">
            <w:pPr>
              <w:widowControl w:val="0"/>
              <w:numPr>
                <w:ilvl w:val="0"/>
                <w:numId w:val="20"/>
              </w:numPr>
              <w:spacing w:line="360" w:lineRule="auto"/>
              <w:contextualSpacing/>
              <w:jc w:val="center"/>
              <w:rPr>
                <w:rFonts w:hint="eastAsia" w:cs="Times New Roman"/>
                <w:kern w:val="2"/>
                <w:sz w:val="21"/>
                <w:szCs w:val="21"/>
                <w14:ligatures w14:val="standardContextual"/>
              </w:rPr>
            </w:pPr>
          </w:p>
        </w:tc>
        <w:tc>
          <w:tcPr>
            <w:tcW w:w="524" w:type="pct"/>
            <w:vAlign w:val="center"/>
          </w:tcPr>
          <w:p w14:paraId="0581F517">
            <w:pPr>
              <w:widowControl w:val="0"/>
              <w:spacing w:line="360" w:lineRule="auto"/>
              <w:jc w:val="center"/>
              <w:rPr>
                <w:rFonts w:hint="eastAsia" w:cs="Times New Roman"/>
                <w:kern w:val="2"/>
                <w:sz w:val="21"/>
                <w:szCs w:val="21"/>
                <w14:ligatures w14:val="standardContextual"/>
              </w:rPr>
            </w:pPr>
            <w:r>
              <w:rPr>
                <w:rFonts w:cs="Times New Roman"/>
                <w:kern w:val="2"/>
                <w:sz w:val="21"/>
                <w:szCs w:val="21"/>
                <w14:ligatures w14:val="standardContextual"/>
              </w:rPr>
              <w:t>★</w:t>
            </w:r>
          </w:p>
        </w:tc>
        <w:tc>
          <w:tcPr>
            <w:tcW w:w="769" w:type="pct"/>
            <w:vAlign w:val="center"/>
          </w:tcPr>
          <w:p w14:paraId="06D0123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性能</w:t>
            </w:r>
          </w:p>
        </w:tc>
        <w:tc>
          <w:tcPr>
            <w:tcW w:w="2648" w:type="pct"/>
            <w:vAlign w:val="center"/>
          </w:tcPr>
          <w:p w14:paraId="2FF69BBC">
            <w:pPr>
              <w:widowControl w:val="0"/>
              <w:spacing w:line="360" w:lineRule="auto"/>
              <w:jc w:val="both"/>
              <w:rPr>
                <w:rFonts w:hint="eastAsia" w:cs="Times New Roman"/>
                <w:kern w:val="2"/>
                <w:sz w:val="21"/>
                <w:szCs w:val="21"/>
                <w14:ligatures w14:val="standardContextual"/>
              </w:rPr>
            </w:pPr>
            <w:r>
              <w:rPr>
                <w:rFonts w:hint="eastAsia" w:cs="Times New Roman"/>
                <w:kern w:val="2"/>
                <w:sz w:val="21"/>
                <w:szCs w:val="21"/>
                <w14:ligatures w14:val="standardContextual"/>
              </w:rPr>
              <w:t>最大理论加密流量：≥600Mbps</w:t>
            </w:r>
          </w:p>
          <w:p w14:paraId="28D836A1">
            <w:pPr>
              <w:widowControl w:val="0"/>
              <w:spacing w:line="360" w:lineRule="auto"/>
              <w:jc w:val="both"/>
              <w:rPr>
                <w:rFonts w:hint="eastAsia" w:cs="Times New Roman"/>
                <w:kern w:val="2"/>
                <w:sz w:val="21"/>
                <w:szCs w:val="21"/>
                <w14:ligatures w14:val="standardContextual"/>
              </w:rPr>
            </w:pPr>
            <w:r>
              <w:rPr>
                <w:rFonts w:hint="eastAsia" w:cs="Times New Roman"/>
                <w:kern w:val="2"/>
                <w:sz w:val="21"/>
                <w:szCs w:val="21"/>
                <w14:ligatures w14:val="standardContextual"/>
              </w:rPr>
              <w:t>最大理论并发用户数（个）：≥2000</w:t>
            </w:r>
          </w:p>
          <w:p w14:paraId="3ADC39A5">
            <w:pPr>
              <w:widowControl w:val="0"/>
              <w:spacing w:line="360" w:lineRule="auto"/>
              <w:jc w:val="both"/>
              <w:rPr>
                <w:rFonts w:hint="eastAsia" w:cs="Times New Roman"/>
                <w:kern w:val="2"/>
                <w:sz w:val="21"/>
                <w:szCs w:val="21"/>
                <w14:ligatures w14:val="standardContextual"/>
              </w:rPr>
            </w:pPr>
            <w:r>
              <w:rPr>
                <w:rFonts w:hint="eastAsia" w:cs="Times New Roman"/>
                <w:kern w:val="2"/>
                <w:sz w:val="21"/>
                <w:szCs w:val="21"/>
                <w14:ligatures w14:val="standardContextual"/>
              </w:rPr>
              <w:t>最大理论https并发连接数（个）：≥60000</w:t>
            </w:r>
          </w:p>
          <w:p w14:paraId="13C72A71">
            <w:pPr>
              <w:widowControl w:val="0"/>
              <w:spacing w:line="360" w:lineRule="auto"/>
              <w:jc w:val="both"/>
              <w:rPr>
                <w:rFonts w:hint="eastAsia" w:cs="Times New Roman"/>
                <w:kern w:val="2"/>
                <w:sz w:val="21"/>
                <w:szCs w:val="21"/>
                <w14:ligatures w14:val="standardContextual"/>
              </w:rPr>
            </w:pPr>
            <w:r>
              <w:rPr>
                <w:rFonts w:hint="eastAsia" w:cs="Times New Roman"/>
                <w:kern w:val="2"/>
                <w:sz w:val="21"/>
                <w:szCs w:val="21"/>
                <w14:ligatures w14:val="standardContextual"/>
              </w:rPr>
              <w:t>理论https新建连接数（个/秒）：≥400。</w:t>
            </w:r>
          </w:p>
        </w:tc>
        <w:tc>
          <w:tcPr>
            <w:tcW w:w="731" w:type="pct"/>
            <w:vAlign w:val="center"/>
          </w:tcPr>
          <w:p w14:paraId="48FDF68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7011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28" w:type="pct"/>
            <w:vAlign w:val="center"/>
          </w:tcPr>
          <w:p w14:paraId="4E786C93">
            <w:pPr>
              <w:widowControl w:val="0"/>
              <w:numPr>
                <w:ilvl w:val="0"/>
                <w:numId w:val="20"/>
              </w:numPr>
              <w:spacing w:line="360" w:lineRule="auto"/>
              <w:contextualSpacing/>
              <w:jc w:val="center"/>
              <w:rPr>
                <w:rFonts w:hint="eastAsia" w:cs="Times New Roman"/>
                <w:kern w:val="2"/>
                <w:sz w:val="21"/>
                <w:szCs w:val="21"/>
                <w14:ligatures w14:val="standardContextual"/>
              </w:rPr>
            </w:pPr>
          </w:p>
        </w:tc>
        <w:tc>
          <w:tcPr>
            <w:tcW w:w="524" w:type="pct"/>
            <w:vAlign w:val="center"/>
          </w:tcPr>
          <w:p w14:paraId="6BCED8DC">
            <w:pPr>
              <w:widowControl w:val="0"/>
              <w:spacing w:line="360" w:lineRule="auto"/>
              <w:jc w:val="center"/>
              <w:rPr>
                <w:rFonts w:hint="eastAsia" w:cs="Times New Roman"/>
                <w:kern w:val="2"/>
                <w:sz w:val="21"/>
                <w:szCs w:val="21"/>
                <w14:ligatures w14:val="standardContextual"/>
              </w:rPr>
            </w:pPr>
          </w:p>
        </w:tc>
        <w:tc>
          <w:tcPr>
            <w:tcW w:w="769" w:type="pct"/>
            <w:vAlign w:val="center"/>
          </w:tcPr>
          <w:p w14:paraId="12EF0E08">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可靠性</w:t>
            </w:r>
          </w:p>
        </w:tc>
        <w:tc>
          <w:tcPr>
            <w:tcW w:w="2648" w:type="pct"/>
            <w:vAlign w:val="center"/>
          </w:tcPr>
          <w:p w14:paraId="1561F815">
            <w:pPr>
              <w:widowControl w:val="0"/>
              <w:spacing w:line="360" w:lineRule="auto"/>
              <w:jc w:val="both"/>
              <w:rPr>
                <w:rFonts w:hint="eastAsia" w:cs="Times New Roman"/>
                <w:kern w:val="2"/>
                <w:sz w:val="21"/>
                <w:szCs w:val="21"/>
                <w14:ligatures w14:val="standardContextual"/>
              </w:rPr>
            </w:pPr>
            <w:r>
              <w:rPr>
                <w:rFonts w:hint="eastAsia" w:cs="Times New Roman"/>
                <w:kern w:val="2"/>
                <w:sz w:val="21"/>
                <w:szCs w:val="21"/>
                <w14:ligatures w14:val="standardContextual"/>
              </w:rPr>
              <w:t>为了提高设备可靠性，支持模块化可插拔双电源</w:t>
            </w:r>
          </w:p>
        </w:tc>
        <w:tc>
          <w:tcPr>
            <w:tcW w:w="731" w:type="pct"/>
            <w:vAlign w:val="center"/>
          </w:tcPr>
          <w:p w14:paraId="3B3CBCF9">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05ED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28" w:type="pct"/>
            <w:vAlign w:val="center"/>
          </w:tcPr>
          <w:p w14:paraId="2F239F8F">
            <w:pPr>
              <w:widowControl w:val="0"/>
              <w:numPr>
                <w:ilvl w:val="0"/>
                <w:numId w:val="20"/>
              </w:numPr>
              <w:spacing w:line="360" w:lineRule="auto"/>
              <w:contextualSpacing/>
              <w:jc w:val="center"/>
              <w:rPr>
                <w:rFonts w:hint="eastAsia" w:cs="Times New Roman"/>
                <w:kern w:val="2"/>
                <w:sz w:val="21"/>
                <w:szCs w:val="21"/>
                <w14:ligatures w14:val="standardContextual"/>
              </w:rPr>
            </w:pPr>
            <w:bookmarkStart w:id="1870" w:name="_Hlk198886684"/>
          </w:p>
        </w:tc>
        <w:tc>
          <w:tcPr>
            <w:tcW w:w="524" w:type="pct"/>
            <w:vAlign w:val="center"/>
          </w:tcPr>
          <w:p w14:paraId="4C2FEB04">
            <w:pPr>
              <w:widowControl w:val="0"/>
              <w:spacing w:line="360" w:lineRule="auto"/>
              <w:jc w:val="center"/>
              <w:rPr>
                <w:rFonts w:hint="eastAsia" w:cs="Times New Roman"/>
                <w:kern w:val="2"/>
                <w:sz w:val="21"/>
                <w:szCs w:val="21"/>
                <w14:ligatures w14:val="standardContextual"/>
              </w:rPr>
            </w:pPr>
          </w:p>
        </w:tc>
        <w:tc>
          <w:tcPr>
            <w:tcW w:w="769" w:type="pct"/>
            <w:vAlign w:val="center"/>
          </w:tcPr>
          <w:p w14:paraId="41A844F3">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部署方式</w:t>
            </w:r>
          </w:p>
        </w:tc>
        <w:tc>
          <w:tcPr>
            <w:tcW w:w="2648" w:type="pct"/>
            <w:vAlign w:val="center"/>
          </w:tcPr>
          <w:p w14:paraId="024EDBEE">
            <w:pPr>
              <w:widowControl w:val="0"/>
              <w:spacing w:line="360" w:lineRule="auto"/>
              <w:jc w:val="both"/>
              <w:rPr>
                <w:rFonts w:hint="eastAsia" w:cs="Times New Roman"/>
                <w:kern w:val="2"/>
                <w:sz w:val="21"/>
                <w:szCs w:val="21"/>
                <w14:ligatures w14:val="standardContextual"/>
              </w:rPr>
            </w:pPr>
            <w:r>
              <w:rPr>
                <w:rFonts w:hint="eastAsia" w:cs="Times New Roman"/>
                <w:kern w:val="2"/>
                <w:sz w:val="21"/>
                <w:szCs w:val="21"/>
                <w14:ligatures w14:val="standardContextual"/>
              </w:rPr>
              <w:t>通过虚拟化部署，可兼容主流虚拟化平台。</w:t>
            </w:r>
            <w:bookmarkStart w:id="1871" w:name="OLE_LINK26"/>
            <w:r>
              <w:rPr>
                <w:rFonts w:hint="eastAsia" w:cs="Times New Roman"/>
                <w:kern w:val="2"/>
                <w:sz w:val="21"/>
                <w:szCs w:val="21"/>
                <w14:ligatures w14:val="standardContextual"/>
              </w:rPr>
              <w:t>兼容招标人现有虚拟化平台。</w:t>
            </w:r>
            <w:bookmarkEnd w:id="1871"/>
          </w:p>
        </w:tc>
        <w:tc>
          <w:tcPr>
            <w:tcW w:w="731" w:type="pct"/>
            <w:vAlign w:val="center"/>
          </w:tcPr>
          <w:p w14:paraId="1408940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bookmarkEnd w:id="1870"/>
      <w:tr w14:paraId="1801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28" w:type="pct"/>
            <w:vAlign w:val="center"/>
          </w:tcPr>
          <w:p w14:paraId="4CE07103">
            <w:pPr>
              <w:widowControl w:val="0"/>
              <w:numPr>
                <w:ilvl w:val="0"/>
                <w:numId w:val="20"/>
              </w:numPr>
              <w:spacing w:line="360" w:lineRule="auto"/>
              <w:contextualSpacing/>
              <w:jc w:val="center"/>
              <w:rPr>
                <w:rFonts w:hint="eastAsia" w:cs="Times New Roman"/>
                <w:kern w:val="2"/>
                <w:sz w:val="21"/>
                <w:szCs w:val="21"/>
                <w14:ligatures w14:val="standardContextual"/>
              </w:rPr>
            </w:pPr>
          </w:p>
        </w:tc>
        <w:tc>
          <w:tcPr>
            <w:tcW w:w="524" w:type="pct"/>
            <w:vAlign w:val="center"/>
          </w:tcPr>
          <w:p w14:paraId="21EB1B01">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769" w:type="pct"/>
            <w:vAlign w:val="center"/>
          </w:tcPr>
          <w:p w14:paraId="531F514F">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兼容性</w:t>
            </w:r>
          </w:p>
        </w:tc>
        <w:tc>
          <w:tcPr>
            <w:tcW w:w="2648" w:type="pct"/>
            <w:vAlign w:val="center"/>
          </w:tcPr>
          <w:p w14:paraId="19D68323">
            <w:pPr>
              <w:widowControl w:val="0"/>
              <w:spacing w:line="360" w:lineRule="auto"/>
              <w:jc w:val="both"/>
              <w:rPr>
                <w:rFonts w:hint="eastAsia" w:cs="Times New Roman"/>
                <w:kern w:val="2"/>
                <w:sz w:val="21"/>
                <w:szCs w:val="21"/>
                <w14:ligatures w14:val="standardContextual"/>
              </w:rPr>
            </w:pPr>
            <w:bookmarkStart w:id="1872" w:name="OLE_LINK7"/>
            <w:r>
              <w:rPr>
                <w:rFonts w:hint="eastAsia" w:cs="Times New Roman"/>
                <w:kern w:val="2"/>
                <w:sz w:val="21"/>
                <w:szCs w:val="21"/>
                <w14:ligatures w14:val="standardContextual"/>
              </w:rPr>
              <w:t>需要与前期深信服零信任安全代理网关形成双机双活运行</w:t>
            </w:r>
            <w:bookmarkEnd w:id="1872"/>
            <w:r>
              <w:rPr>
                <w:rFonts w:hint="eastAsia" w:cs="Times New Roman"/>
                <w:kern w:val="2"/>
                <w:sz w:val="21"/>
                <w:szCs w:val="21"/>
                <w14:ligatures w14:val="standardContextual"/>
              </w:rPr>
              <w:t>，提供生产厂家承诺函。</w:t>
            </w:r>
          </w:p>
        </w:tc>
        <w:tc>
          <w:tcPr>
            <w:tcW w:w="731" w:type="pct"/>
            <w:vAlign w:val="center"/>
          </w:tcPr>
          <w:p w14:paraId="37CE1872">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否</w:t>
            </w:r>
          </w:p>
        </w:tc>
      </w:tr>
      <w:tr w14:paraId="4FFC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28" w:type="pct"/>
            <w:vAlign w:val="center"/>
          </w:tcPr>
          <w:p w14:paraId="5201812E">
            <w:pPr>
              <w:widowControl w:val="0"/>
              <w:numPr>
                <w:ilvl w:val="0"/>
                <w:numId w:val="20"/>
              </w:numPr>
              <w:spacing w:line="360" w:lineRule="auto"/>
              <w:contextualSpacing/>
              <w:jc w:val="center"/>
              <w:rPr>
                <w:rFonts w:hint="eastAsia" w:cs="Times New Roman"/>
                <w:kern w:val="2"/>
                <w:sz w:val="21"/>
                <w:szCs w:val="21"/>
                <w14:ligatures w14:val="standardContextual"/>
              </w:rPr>
            </w:pPr>
          </w:p>
        </w:tc>
        <w:tc>
          <w:tcPr>
            <w:tcW w:w="524" w:type="pct"/>
            <w:vAlign w:val="center"/>
          </w:tcPr>
          <w:p w14:paraId="15A7141E">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w:t>
            </w:r>
          </w:p>
        </w:tc>
        <w:tc>
          <w:tcPr>
            <w:tcW w:w="769" w:type="pct"/>
            <w:vAlign w:val="center"/>
          </w:tcPr>
          <w:p w14:paraId="35FDE954">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服务</w:t>
            </w:r>
          </w:p>
        </w:tc>
        <w:tc>
          <w:tcPr>
            <w:tcW w:w="2648" w:type="pct"/>
            <w:vAlign w:val="center"/>
          </w:tcPr>
          <w:p w14:paraId="16790791">
            <w:pPr>
              <w:widowControl w:val="0"/>
              <w:spacing w:line="360" w:lineRule="auto"/>
              <w:jc w:val="both"/>
              <w:rPr>
                <w:rFonts w:hint="eastAsia" w:cs="Times New Roman"/>
                <w:kern w:val="2"/>
                <w:sz w:val="21"/>
                <w:szCs w:val="21"/>
                <w14:ligatures w14:val="standardContextual"/>
              </w:rPr>
            </w:pPr>
            <w:r>
              <w:rPr>
                <w:rFonts w:hint="eastAsia" w:cs="Times New Roman"/>
                <w:kern w:val="2"/>
                <w:sz w:val="21"/>
                <w:szCs w:val="21"/>
                <w14:ligatures w14:val="standardContextual"/>
              </w:rPr>
              <w:t>包含三年质保和升级服务，原厂工程师上门服务。（提供所投产品的制造商出具的授权书）</w:t>
            </w:r>
          </w:p>
        </w:tc>
        <w:tc>
          <w:tcPr>
            <w:tcW w:w="731" w:type="pct"/>
            <w:vAlign w:val="center"/>
          </w:tcPr>
          <w:p w14:paraId="68358475">
            <w:pPr>
              <w:widowControl w:val="0"/>
              <w:spacing w:line="360" w:lineRule="auto"/>
              <w:jc w:val="center"/>
              <w:rPr>
                <w:rFonts w:hint="eastAsia" w:cs="Times New Roman"/>
                <w:kern w:val="2"/>
                <w:sz w:val="21"/>
                <w:szCs w:val="21"/>
                <w14:ligatures w14:val="standardContextual"/>
              </w:rPr>
            </w:pPr>
            <w:r>
              <w:rPr>
                <w:rFonts w:hint="eastAsia" w:cs="Times New Roman"/>
                <w:kern w:val="2"/>
                <w:sz w:val="21"/>
                <w:szCs w:val="21"/>
                <w14:ligatures w14:val="standardContextual"/>
              </w:rPr>
              <w:t>是</w:t>
            </w:r>
          </w:p>
        </w:tc>
      </w:tr>
    </w:tbl>
    <w:p w14:paraId="36540C78">
      <w:pPr>
        <w:keepNext/>
        <w:keepLines/>
        <w:widowControl w:val="0"/>
        <w:numPr>
          <w:ilvl w:val="2"/>
          <w:numId w:val="11"/>
        </w:numPr>
        <w:spacing w:line="360" w:lineRule="auto"/>
        <w:ind w:firstLine="200"/>
        <w:outlineLvl w:val="2"/>
        <w:rPr>
          <w:rFonts w:hint="eastAsia" w:cs="Times New Roman"/>
          <w:b/>
          <w:kern w:val="2"/>
          <w:sz w:val="21"/>
          <w:szCs w:val="21"/>
          <w14:ligatures w14:val="standardContextual"/>
        </w:rPr>
      </w:pPr>
      <w:bookmarkStart w:id="1873" w:name="_Toc7161"/>
      <w:r>
        <w:rPr>
          <w:rFonts w:hint="eastAsia" w:cs="Times New Roman"/>
          <w:b/>
          <w:kern w:val="2"/>
          <w:sz w:val="21"/>
          <w:szCs w:val="21"/>
          <w14:ligatures w14:val="standardContextual"/>
        </w:rPr>
        <w:t>系统集成</w:t>
      </w:r>
      <w:bookmarkEnd w:id="1873"/>
    </w:p>
    <w:p w14:paraId="193C640A">
      <w:pPr>
        <w:widowControl w:val="0"/>
        <w:spacing w:line="360" w:lineRule="auto"/>
        <w:ind w:firstLine="420" w:firstLineChars="200"/>
        <w:rPr>
          <w:rFonts w:hint="eastAsia" w:cs="Times New Roman"/>
          <w:kern w:val="2"/>
          <w:sz w:val="21"/>
          <w:szCs w:val="21"/>
          <w14:ligatures w14:val="standardContextual"/>
        </w:rPr>
      </w:pPr>
      <w:bookmarkStart w:id="1874" w:name="OLE_LINK27"/>
      <w:r>
        <w:rPr>
          <w:rFonts w:hint="eastAsia" w:cs="Times New Roman"/>
          <w:kern w:val="2"/>
          <w:sz w:val="21"/>
          <w:szCs w:val="21"/>
          <w14:ligatures w14:val="standardContextual"/>
        </w:rPr>
        <w:t>1、对现网设备进行全面梳理，包括但不限于</w:t>
      </w:r>
      <w:r>
        <w:rPr>
          <w:rFonts w:cs="Times New Roman"/>
          <w:kern w:val="2"/>
          <w:sz w:val="21"/>
          <w:szCs w:val="21"/>
          <w14:ligatures w14:val="standardContextual"/>
        </w:rPr>
        <w:t>IP地址</w:t>
      </w:r>
      <w:r>
        <w:rPr>
          <w:rFonts w:hint="eastAsia" w:cs="Times New Roman"/>
          <w:kern w:val="2"/>
          <w:sz w:val="21"/>
          <w:szCs w:val="21"/>
          <w14:ligatures w14:val="standardContextual"/>
        </w:rPr>
        <w:t>、</w:t>
      </w:r>
      <w:r>
        <w:rPr>
          <w:rFonts w:cs="Times New Roman"/>
          <w:kern w:val="2"/>
          <w:sz w:val="21"/>
          <w:szCs w:val="21"/>
          <w14:ligatures w14:val="standardContextual"/>
        </w:rPr>
        <w:t>账号密码、物理位置与硬件参数</w:t>
      </w:r>
      <w:r>
        <w:rPr>
          <w:rFonts w:hint="eastAsia" w:cs="Times New Roman"/>
          <w:kern w:val="2"/>
          <w:sz w:val="21"/>
          <w:szCs w:val="21"/>
          <w14:ligatures w14:val="standardContextual"/>
        </w:rPr>
        <w:t>。</w:t>
      </w:r>
      <w:r>
        <w:rPr>
          <w:rFonts w:cs="Times New Roman"/>
          <w:kern w:val="2"/>
          <w:sz w:val="21"/>
          <w:szCs w:val="21"/>
          <w14:ligatures w14:val="standardContextual"/>
        </w:rPr>
        <w:t>形成端口互联表、管理清单、机柜版位图及硬件信息档案。</w:t>
      </w:r>
    </w:p>
    <w:p w14:paraId="15F4EE90">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2、</w:t>
      </w:r>
      <w:r>
        <w:rPr>
          <w:rFonts w:cs="Times New Roman"/>
          <w:kern w:val="2"/>
          <w:sz w:val="21"/>
          <w:szCs w:val="21"/>
          <w14:ligatures w14:val="standardContextual"/>
        </w:rPr>
        <w:t>基于梳理成果</w:t>
      </w:r>
      <w:r>
        <w:rPr>
          <w:rFonts w:hint="eastAsia" w:cs="Times New Roman"/>
          <w:kern w:val="2"/>
          <w:sz w:val="21"/>
          <w:szCs w:val="21"/>
          <w14:ligatures w14:val="standardContextual"/>
        </w:rPr>
        <w:t>完成</w:t>
      </w:r>
      <w:r>
        <w:rPr>
          <w:rFonts w:cs="Times New Roman"/>
          <w:kern w:val="2"/>
          <w:sz w:val="21"/>
          <w:szCs w:val="21"/>
          <w14:ligatures w14:val="standardContextual"/>
        </w:rPr>
        <w:t>设备</w:t>
      </w:r>
      <w:r>
        <w:rPr>
          <w:rFonts w:hint="eastAsia" w:cs="Times New Roman"/>
          <w:kern w:val="2"/>
          <w:sz w:val="21"/>
          <w:szCs w:val="21"/>
          <w14:ligatures w14:val="standardContextual"/>
        </w:rPr>
        <w:t>安装位置、基础</w:t>
      </w:r>
      <w:r>
        <w:rPr>
          <w:rFonts w:cs="Times New Roman"/>
          <w:kern w:val="2"/>
          <w:sz w:val="21"/>
          <w:szCs w:val="21"/>
          <w14:ligatures w14:val="standardContextual"/>
        </w:rPr>
        <w:t>配置及安全策略</w:t>
      </w:r>
      <w:r>
        <w:rPr>
          <w:rFonts w:hint="eastAsia" w:cs="Times New Roman"/>
          <w:kern w:val="2"/>
          <w:sz w:val="21"/>
          <w:szCs w:val="21"/>
          <w14:ligatures w14:val="standardContextual"/>
        </w:rPr>
        <w:t>的</w:t>
      </w:r>
      <w:r>
        <w:rPr>
          <w:rFonts w:cs="Times New Roman"/>
          <w:kern w:val="2"/>
          <w:sz w:val="21"/>
          <w:szCs w:val="21"/>
          <w14:ligatures w14:val="standardContextual"/>
        </w:rPr>
        <w:t>规划，保障稳定扩展。</w:t>
      </w:r>
    </w:p>
    <w:p w14:paraId="5EC0E5B5">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3、</w:t>
      </w:r>
      <w:r>
        <w:rPr>
          <w:rFonts w:cs="Times New Roman"/>
          <w:kern w:val="2"/>
          <w:sz w:val="21"/>
          <w:szCs w:val="21"/>
          <w14:ligatures w14:val="standardContextual"/>
        </w:rPr>
        <w:t>设备按规划安装部署，</w:t>
      </w:r>
      <w:r>
        <w:rPr>
          <w:rFonts w:hint="eastAsia" w:cs="Times New Roman"/>
          <w:kern w:val="2"/>
          <w:sz w:val="21"/>
          <w:szCs w:val="21"/>
          <w14:ligatures w14:val="standardContextual"/>
        </w:rPr>
        <w:t>完成</w:t>
      </w:r>
      <w:r>
        <w:rPr>
          <w:rFonts w:cs="Times New Roman"/>
          <w:kern w:val="2"/>
          <w:sz w:val="21"/>
          <w:szCs w:val="21"/>
          <w14:ligatures w14:val="standardContextual"/>
        </w:rPr>
        <w:t>调试</w:t>
      </w:r>
      <w:r>
        <w:rPr>
          <w:rFonts w:hint="eastAsia" w:cs="Times New Roman"/>
          <w:kern w:val="2"/>
          <w:sz w:val="21"/>
          <w:szCs w:val="21"/>
          <w14:ligatures w14:val="standardContextual"/>
        </w:rPr>
        <w:t>及</w:t>
      </w:r>
      <w:r>
        <w:rPr>
          <w:rFonts w:cs="Times New Roman"/>
          <w:kern w:val="2"/>
          <w:sz w:val="21"/>
          <w:szCs w:val="21"/>
          <w14:ligatures w14:val="standardContextual"/>
        </w:rPr>
        <w:t>测试</w:t>
      </w:r>
      <w:r>
        <w:rPr>
          <w:rFonts w:hint="eastAsia" w:cs="Times New Roman"/>
          <w:kern w:val="2"/>
          <w:sz w:val="21"/>
          <w:szCs w:val="21"/>
          <w14:ligatures w14:val="standardContextual"/>
        </w:rPr>
        <w:t>工作，兼容IPv6地址，</w:t>
      </w:r>
      <w:r>
        <w:rPr>
          <w:rFonts w:cs="Times New Roman"/>
          <w:kern w:val="2"/>
          <w:sz w:val="21"/>
          <w:szCs w:val="21"/>
          <w14:ligatures w14:val="standardContextual"/>
        </w:rPr>
        <w:t>确保</w:t>
      </w:r>
      <w:r>
        <w:rPr>
          <w:rFonts w:hint="eastAsia" w:cs="Times New Roman"/>
          <w:kern w:val="2"/>
          <w:sz w:val="21"/>
          <w:szCs w:val="21"/>
          <w14:ligatures w14:val="standardContextual"/>
        </w:rPr>
        <w:t>设备</w:t>
      </w:r>
      <w:r>
        <w:rPr>
          <w:rFonts w:cs="Times New Roman"/>
          <w:kern w:val="2"/>
          <w:sz w:val="21"/>
          <w:szCs w:val="21"/>
          <w14:ligatures w14:val="standardContextual"/>
        </w:rPr>
        <w:t>稳定运行。</w:t>
      </w:r>
    </w:p>
    <w:p w14:paraId="0D8ED62F">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4、零信任和负载均衡</w:t>
      </w:r>
      <w:r>
        <w:rPr>
          <w:rFonts w:cs="Times New Roman"/>
          <w:kern w:val="2"/>
          <w:sz w:val="21"/>
          <w:szCs w:val="21"/>
          <w14:ligatures w14:val="standardContextual"/>
        </w:rPr>
        <w:t>设备</w:t>
      </w:r>
      <w:r>
        <w:rPr>
          <w:rFonts w:hint="eastAsia" w:cs="Times New Roman"/>
          <w:kern w:val="2"/>
          <w:sz w:val="21"/>
          <w:szCs w:val="21"/>
          <w14:ligatures w14:val="standardContextual"/>
        </w:rPr>
        <w:t>双机双活部署</w:t>
      </w:r>
      <w:r>
        <w:rPr>
          <w:rFonts w:cs="Times New Roman"/>
          <w:kern w:val="2"/>
          <w:sz w:val="21"/>
          <w:szCs w:val="21"/>
          <w14:ligatures w14:val="standardContextual"/>
        </w:rPr>
        <w:t>，主设备故障时，无缝切换。</w:t>
      </w:r>
    </w:p>
    <w:p w14:paraId="194B5627">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5、</w:t>
      </w:r>
      <w:r>
        <w:rPr>
          <w:rFonts w:cs="Times New Roman"/>
          <w:kern w:val="2"/>
          <w:sz w:val="21"/>
          <w:szCs w:val="21"/>
          <w14:ligatures w14:val="standardContextual"/>
        </w:rPr>
        <w:t>使用漏扫系统对关键系统进行扫描，检测漏洞风险并生成报告</w:t>
      </w:r>
      <w:r>
        <w:rPr>
          <w:rFonts w:hint="eastAsia" w:cs="Times New Roman"/>
          <w:kern w:val="2"/>
          <w:sz w:val="21"/>
          <w:szCs w:val="21"/>
          <w14:ligatures w14:val="standardContextual"/>
        </w:rPr>
        <w:t>。</w:t>
      </w:r>
    </w:p>
    <w:p w14:paraId="03745C6E">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6</w:t>
      </w:r>
      <w:r>
        <w:rPr>
          <w:rFonts w:cs="Times New Roman"/>
          <w:kern w:val="2"/>
          <w:sz w:val="21"/>
          <w:szCs w:val="21"/>
          <w14:ligatures w14:val="standardContextual"/>
        </w:rPr>
        <w:t>、对安全设备的各类规则库</w:t>
      </w:r>
      <w:r>
        <w:rPr>
          <w:rFonts w:hint="eastAsia" w:cs="Times New Roman"/>
          <w:kern w:val="2"/>
          <w:sz w:val="21"/>
          <w:szCs w:val="21"/>
          <w14:ligatures w14:val="standardContextual"/>
        </w:rPr>
        <w:t>进行</w:t>
      </w:r>
      <w:r>
        <w:rPr>
          <w:rFonts w:cs="Times New Roman"/>
          <w:kern w:val="2"/>
          <w:sz w:val="21"/>
          <w:szCs w:val="21"/>
          <w14:ligatures w14:val="standardContextual"/>
        </w:rPr>
        <w:t>版本升级，保障其为最新状态。</w:t>
      </w:r>
    </w:p>
    <w:p w14:paraId="25C15220">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7、逐项检查安全设备是否有对应的访问控制、数据防护策略。检查策略是否冲突，删除长期不使用的历史遗留策略、重复策略，合并功能类似的策略。</w:t>
      </w:r>
    </w:p>
    <w:p w14:paraId="2C87A433">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8、设备割接要求：</w:t>
      </w:r>
      <w:r>
        <w:rPr>
          <w:rFonts w:cs="Times New Roman"/>
          <w:kern w:val="2"/>
          <w:sz w:val="21"/>
          <w:szCs w:val="21"/>
          <w14:ligatures w14:val="standardContextual"/>
        </w:rPr>
        <w:t>割接前需开展全网业务流量分析，绘制热力图明确核心业务与关键链路，全量备份数据并搭建临时存储系统，组织多轮方案培训与模拟演练；制定分阶段、差异化割接方案，明确各环节标准；割接实施采用 “先部署、后切换” 模式，在窗口期内严格执行，实时监控并及时验证，异常时 15 分钟内回滚；割接后安排 7×24 小时值守 72 小时，收集反馈、复盘形成报告；建立风险评估体系，验证应对措施并备足物资；最后依据割接后数据深度优化网络设备配置、路由策略及安全防护体系，保障网络性能与安全。</w:t>
      </w:r>
    </w:p>
    <w:bookmarkEnd w:id="1874"/>
    <w:p w14:paraId="58AAA91E">
      <w:pPr>
        <w:keepNext/>
        <w:keepLines/>
        <w:widowControl w:val="0"/>
        <w:numPr>
          <w:ilvl w:val="0"/>
          <w:numId w:val="11"/>
        </w:numPr>
        <w:spacing w:line="360" w:lineRule="auto"/>
        <w:ind w:firstLine="200"/>
        <w:outlineLvl w:val="0"/>
        <w:rPr>
          <w:rFonts w:hint="eastAsia" w:cs="Times New Roman"/>
          <w:b/>
          <w:color w:val="000000"/>
          <w:kern w:val="2"/>
          <w:sz w:val="21"/>
          <w:szCs w:val="21"/>
          <w14:ligatures w14:val="standardContextual"/>
        </w:rPr>
      </w:pPr>
      <w:bookmarkStart w:id="1875" w:name="_Toc14122"/>
      <w:r>
        <w:rPr>
          <w:rFonts w:hint="eastAsia" w:cs="Times New Roman"/>
          <w:b/>
          <w:color w:val="000000"/>
          <w:kern w:val="2"/>
          <w:sz w:val="21"/>
          <w:szCs w:val="21"/>
          <w14:ligatures w14:val="standardContextual"/>
        </w:rPr>
        <w:t>其他</w:t>
      </w:r>
      <w:r>
        <w:rPr>
          <w:rFonts w:cs="Times New Roman"/>
          <w:b/>
          <w:color w:val="000000"/>
          <w:kern w:val="2"/>
          <w:sz w:val="21"/>
          <w:szCs w:val="21"/>
          <w14:ligatures w14:val="standardContextual"/>
        </w:rPr>
        <w:t>要求</w:t>
      </w:r>
      <w:bookmarkEnd w:id="1875"/>
      <w:bookmarkStart w:id="1876" w:name="_Toc82639003"/>
      <w:bookmarkStart w:id="1877" w:name="_Toc4083252"/>
    </w:p>
    <w:p w14:paraId="2E74F926">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878" w:name="_Toc14936"/>
      <w:r>
        <w:rPr>
          <w:rFonts w:hint="eastAsia" w:cs="Times New Roman"/>
          <w:b/>
          <w:kern w:val="2"/>
          <w:sz w:val="21"/>
          <w:szCs w:val="21"/>
          <w14:ligatures w14:val="standardContextual"/>
        </w:rPr>
        <w:t>保证期规定</w:t>
      </w:r>
      <w:bookmarkEnd w:id="1876"/>
      <w:bookmarkEnd w:id="1877"/>
      <w:bookmarkEnd w:id="1878"/>
    </w:p>
    <w:p w14:paraId="71F27E38">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项目从签发《最终验收报告》之日起开始计算售后服务质保期。</w:t>
      </w:r>
    </w:p>
    <w:p w14:paraId="6B1132DC">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质保期内，如设备出现故障，投标人接到招标人通知后，应在30分钟做出响应，4小时之内到场，并在48小时内修复；所发生的费用全部由投标人负担。质保期内投标人负责免费纠正或清除合同软件出现的缺陷。</w:t>
      </w:r>
    </w:p>
    <w:p w14:paraId="05996D00">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投标人必须在24小时内提供应急策略。</w:t>
      </w:r>
    </w:p>
    <w:p w14:paraId="2843432E">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879" w:name="_Toc4083253"/>
      <w:bookmarkStart w:id="1880" w:name="_Toc21629"/>
      <w:bookmarkStart w:id="1881" w:name="_Toc82639004"/>
      <w:r>
        <w:rPr>
          <w:rFonts w:hint="eastAsia" w:cs="Times New Roman"/>
          <w:b/>
          <w:kern w:val="2"/>
          <w:sz w:val="21"/>
          <w:szCs w:val="21"/>
          <w14:ligatures w14:val="standardContextual"/>
        </w:rPr>
        <w:t>售后服务</w:t>
      </w:r>
      <w:bookmarkEnd w:id="1879"/>
      <w:bookmarkEnd w:id="1880"/>
      <w:bookmarkEnd w:id="1881"/>
    </w:p>
    <w:p w14:paraId="6887B3CE">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投标人按照招标文件中售后服务要求做出的积极响应和承诺。包括以下内容：</w:t>
      </w:r>
    </w:p>
    <w:p w14:paraId="56710D52">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（1）投标人需在北京市设立售后服务机构网点，说明服务电话和维修人员名单，同时对运维管理机构做详细说明；</w:t>
      </w:r>
    </w:p>
    <w:p w14:paraId="4F81F5F4">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w:t>
      </w:r>
      <w:r>
        <w:rPr>
          <w:rFonts w:cs="Times New Roman"/>
          <w:kern w:val="2"/>
          <w:sz w:val="21"/>
          <w:szCs w:val="21"/>
          <w14:ligatures w14:val="standardContextual"/>
        </w:rPr>
        <w:t>2</w:t>
      </w:r>
      <w:r>
        <w:rPr>
          <w:rFonts w:hint="eastAsia" w:cs="Times New Roman"/>
          <w:kern w:val="2"/>
          <w:sz w:val="21"/>
          <w:szCs w:val="21"/>
          <w14:ligatures w14:val="standardContextual"/>
        </w:rPr>
        <w:t>）说明投标软件的维护时间、保修期内的保修内容与范围、维修响应时间，服务承诺和保障措施等；</w:t>
      </w:r>
    </w:p>
    <w:p w14:paraId="259AF58F">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（3）培训措施：说明培训内容及培训的时间、地点、目标、培训人数和办法；</w:t>
      </w:r>
    </w:p>
    <w:p w14:paraId="119A84A7">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（4）投标人应对产品服务提交服务质量承诺；</w:t>
      </w:r>
    </w:p>
    <w:p w14:paraId="258D315C">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（5）其他有利于用户的服务承诺。</w:t>
      </w:r>
    </w:p>
    <w:p w14:paraId="7F9A6262">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（6）所有项目</w:t>
      </w:r>
      <w:r>
        <w:rPr>
          <w:rFonts w:cs="Times New Roman"/>
          <w:kern w:val="2"/>
          <w:sz w:val="21"/>
          <w:szCs w:val="21"/>
          <w14:ligatures w14:val="standardContextual"/>
        </w:rPr>
        <w:t>相关文档</w:t>
      </w:r>
      <w:r>
        <w:rPr>
          <w:rFonts w:hint="eastAsia" w:cs="Times New Roman"/>
          <w:kern w:val="2"/>
          <w:sz w:val="21"/>
          <w:szCs w:val="21"/>
          <w14:ligatures w14:val="standardContextual"/>
        </w:rPr>
        <w:t>材料，采购人要求增加份数时，只收取印刷成本费。</w:t>
      </w:r>
    </w:p>
    <w:p w14:paraId="4188AA43">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882" w:name="_Toc82639005"/>
      <w:bookmarkStart w:id="1883" w:name="_Toc29997"/>
      <w:bookmarkStart w:id="1884" w:name="_Toc4083254"/>
      <w:r>
        <w:rPr>
          <w:rFonts w:hint="eastAsia" w:cs="Times New Roman"/>
          <w:b/>
          <w:kern w:val="2"/>
          <w:sz w:val="21"/>
          <w:szCs w:val="21"/>
          <w14:ligatures w14:val="standardContextual"/>
        </w:rPr>
        <w:t>系统维护</w:t>
      </w:r>
      <w:bookmarkEnd w:id="1882"/>
      <w:bookmarkEnd w:id="1883"/>
      <w:bookmarkEnd w:id="1884"/>
    </w:p>
    <w:p w14:paraId="6B381F01">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投标人应在系统安装调试后，向招标人提供详细的运维策略，并征得招标人的认可。</w:t>
      </w:r>
    </w:p>
    <w:p w14:paraId="16B85447">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投标人应在验收前，向招标人提供应急预案，用以指导用户在系统出现故障时保证业务的正常开展。</w:t>
      </w:r>
    </w:p>
    <w:p w14:paraId="4BAD11CA">
      <w:pPr>
        <w:keepNext/>
        <w:keepLines/>
        <w:widowControl w:val="0"/>
        <w:numPr>
          <w:ilvl w:val="0"/>
          <w:numId w:val="11"/>
        </w:numPr>
        <w:spacing w:line="360" w:lineRule="auto"/>
        <w:ind w:firstLine="200"/>
        <w:outlineLvl w:val="0"/>
        <w:rPr>
          <w:rFonts w:hint="eastAsia" w:ascii="等线 Light" w:hAnsi="等线 Light" w:cs="Times New Roman"/>
          <w:b/>
          <w:color w:val="000000"/>
          <w:kern w:val="2"/>
          <w:sz w:val="21"/>
          <w:szCs w:val="21"/>
          <w14:ligatures w14:val="standardContextual"/>
        </w:rPr>
      </w:pPr>
      <w:bookmarkStart w:id="1885" w:name="_Toc82639006"/>
      <w:bookmarkStart w:id="1886" w:name="_Toc30516"/>
      <w:bookmarkStart w:id="1887" w:name="_Toc4083255"/>
      <w:r>
        <w:rPr>
          <w:rFonts w:hint="eastAsia" w:ascii="等线 Light" w:hAnsi="等线 Light" w:cs="Times New Roman"/>
          <w:b/>
          <w:color w:val="000000"/>
          <w:kern w:val="2"/>
          <w:sz w:val="21"/>
          <w:szCs w:val="21"/>
          <w14:ligatures w14:val="standardContextual"/>
        </w:rPr>
        <w:t>实施要求</w:t>
      </w:r>
      <w:bookmarkEnd w:id="1885"/>
      <w:bookmarkEnd w:id="1886"/>
      <w:bookmarkEnd w:id="1887"/>
    </w:p>
    <w:p w14:paraId="2A28B899">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888" w:name="_Toc82639007"/>
      <w:bookmarkStart w:id="1889" w:name="_Toc28808"/>
      <w:bookmarkStart w:id="1890" w:name="_Toc4083256"/>
      <w:r>
        <w:rPr>
          <w:rFonts w:hint="eastAsia" w:cs="Times New Roman"/>
          <w:b/>
          <w:kern w:val="2"/>
          <w:sz w:val="21"/>
          <w:szCs w:val="21"/>
          <w14:ligatures w14:val="standardContextual"/>
        </w:rPr>
        <w:t>项目管理要求</w:t>
      </w:r>
      <w:bookmarkEnd w:id="1888"/>
      <w:bookmarkEnd w:id="1889"/>
      <w:bookmarkEnd w:id="1890"/>
    </w:p>
    <w:p w14:paraId="17918FF7">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投标方在工程实施过程中，需对项目进行规范化管理，确保工程实施质量。</w:t>
      </w:r>
    </w:p>
    <w:p w14:paraId="40AA4E65">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方对提供的所有软件开发、系统集成和服务、软件购置及其它保证系统完整性的相应工作和工程质量负责。在履行合同的全过程中(从开始供货、安装测试、软件验收直至售后服务)严格执行合同中有关技术、商务条款。</w:t>
      </w:r>
    </w:p>
    <w:p w14:paraId="73700538">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投标方应成立相应的项目小组和</w:t>
      </w:r>
      <w:r>
        <w:rPr>
          <w:rFonts w:cs="Times New Roman"/>
          <w:kern w:val="2"/>
          <w:sz w:val="21"/>
          <w:szCs w:val="21"/>
          <w14:ligatures w14:val="standardContextual"/>
        </w:rPr>
        <w:t>技术支持小组</w:t>
      </w:r>
      <w:r>
        <w:rPr>
          <w:rFonts w:hint="eastAsia" w:cs="Times New Roman"/>
          <w:kern w:val="2"/>
          <w:sz w:val="21"/>
          <w:szCs w:val="21"/>
          <w14:ligatures w14:val="standardContextual"/>
        </w:rPr>
        <w:t>，向招标方提出组织结构，并指定专职的项目经理，中途不得随意变更。技术支持小组负责对参与项目实施的各方技术人员进行产品、技术培训，对工程实施过程中出现的疑难问题提供技术支持。</w:t>
      </w:r>
    </w:p>
    <w:p w14:paraId="0E4DB95F">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工程实施中，由受严格培训的资深工程师组成工程小组负责计划、安装调试、集成等工程实施工作。投标方应详细说明工程实施队伍的组成人员的情况，包括人员职责与分工、能力与技术背景、人员数量等。</w:t>
      </w:r>
    </w:p>
    <w:p w14:paraId="75E7D5B8">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891" w:name="_Toc17213"/>
      <w:bookmarkStart w:id="1892" w:name="_Toc82639008"/>
      <w:bookmarkStart w:id="1893" w:name="_Toc4083257"/>
      <w:r>
        <w:rPr>
          <w:rFonts w:hint="eastAsia" w:cs="Times New Roman"/>
          <w:b/>
          <w:kern w:val="2"/>
          <w:sz w:val="21"/>
          <w:szCs w:val="21"/>
          <w14:ligatures w14:val="standardContextual"/>
        </w:rPr>
        <w:t>文件资料</w:t>
      </w:r>
      <w:bookmarkEnd w:id="1891"/>
      <w:bookmarkEnd w:id="1892"/>
      <w:bookmarkEnd w:id="1893"/>
    </w:p>
    <w:p w14:paraId="2D94E409">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投标方应向招标方提供所有系统和服务的详细文件资料。所有的文件资料必须采用中文，</w:t>
      </w:r>
      <w:r>
        <w:rPr>
          <w:rFonts w:cs="Times New Roman"/>
          <w:kern w:val="2"/>
          <w:sz w:val="21"/>
          <w:szCs w:val="21"/>
          <w14:ligatures w14:val="standardContextual"/>
        </w:rPr>
        <w:t>并</w:t>
      </w:r>
      <w:r>
        <w:rPr>
          <w:rFonts w:hint="eastAsia" w:cs="Times New Roman"/>
          <w:kern w:val="2"/>
          <w:sz w:val="21"/>
          <w:szCs w:val="21"/>
          <w14:ligatures w14:val="standardContextual"/>
        </w:rPr>
        <w:t>应按照国家的相关标准规范进行编制。</w:t>
      </w:r>
    </w:p>
    <w:p w14:paraId="213F5CA1">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投标方应提供的文件资料必须包括但不限于如下文档：</w:t>
      </w:r>
    </w:p>
    <w:p w14:paraId="072CCE8F">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（1）计划阶段：《实施方案》；</w:t>
      </w:r>
    </w:p>
    <w:p w14:paraId="05F0F4C6">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w:t>
      </w:r>
      <w:r>
        <w:rPr>
          <w:rFonts w:cs="Times New Roman"/>
          <w:kern w:val="2"/>
          <w:sz w:val="21"/>
          <w:szCs w:val="21"/>
          <w14:ligatures w14:val="standardContextual"/>
        </w:rPr>
        <w:t>2</w:t>
      </w:r>
      <w:r>
        <w:rPr>
          <w:rFonts w:hint="eastAsia" w:cs="Times New Roman"/>
          <w:kern w:val="2"/>
          <w:sz w:val="21"/>
          <w:szCs w:val="21"/>
          <w14:ligatures w14:val="standardContextual"/>
        </w:rPr>
        <w:t>）调试阶段：《调试报告》；</w:t>
      </w:r>
    </w:p>
    <w:p w14:paraId="13E6EAAE">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w:t>
      </w:r>
      <w:r>
        <w:rPr>
          <w:rFonts w:cs="Times New Roman"/>
          <w:kern w:val="2"/>
          <w:sz w:val="21"/>
          <w:szCs w:val="21"/>
          <w14:ligatures w14:val="standardContextual"/>
        </w:rPr>
        <w:t>3</w:t>
      </w:r>
      <w:r>
        <w:rPr>
          <w:rFonts w:hint="eastAsia" w:cs="Times New Roman"/>
          <w:kern w:val="2"/>
          <w:sz w:val="21"/>
          <w:szCs w:val="21"/>
          <w14:ligatures w14:val="standardContextual"/>
        </w:rPr>
        <w:t>）安装调整阶段：《安装配置手册》；</w:t>
      </w:r>
    </w:p>
    <w:p w14:paraId="0AA52527">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w:t>
      </w:r>
      <w:r>
        <w:rPr>
          <w:rFonts w:cs="Times New Roman"/>
          <w:kern w:val="2"/>
          <w:sz w:val="21"/>
          <w:szCs w:val="21"/>
          <w14:ligatures w14:val="standardContextual"/>
        </w:rPr>
        <w:t>4</w:t>
      </w:r>
      <w:r>
        <w:rPr>
          <w:rFonts w:hint="eastAsia" w:cs="Times New Roman"/>
          <w:kern w:val="2"/>
          <w:sz w:val="21"/>
          <w:szCs w:val="21"/>
          <w14:ligatures w14:val="standardContextual"/>
        </w:rPr>
        <w:t>）验收阶段：《用户操作手册》。</w:t>
      </w:r>
    </w:p>
    <w:p w14:paraId="089B57C2">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投标方应提供的文件资料编写要求如下：</w:t>
      </w:r>
    </w:p>
    <w:p w14:paraId="6556555E">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（1）规范性：文档描述规范。</w:t>
      </w:r>
    </w:p>
    <w:p w14:paraId="037D9E45">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（2）符合性：用户操作手册、需求和设计文档应高度符合；</w:t>
      </w:r>
    </w:p>
    <w:p w14:paraId="38AED293">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（3）完整性：用户操作手册内容基本完整，对具体操作的说明比较详细；</w:t>
      </w:r>
    </w:p>
    <w:p w14:paraId="2DE569F2">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（4）一致性：用户操作手册的描述与软件的实际功能基本一致，对重要功能的说明比较全面；</w:t>
      </w:r>
    </w:p>
    <w:p w14:paraId="6F9C1D61">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（5）易理解程度：用户操作手册对操作有图例和文字说明，较易理解；</w:t>
      </w:r>
    </w:p>
    <w:p w14:paraId="11EC5B4F">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（6）印刷与包装质量：文档资料的印刷精美，商品化包装；</w:t>
      </w:r>
    </w:p>
    <w:p w14:paraId="7B4702CE">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（7）操作实例：用户操作手册提供详细的应用实例。</w:t>
      </w:r>
    </w:p>
    <w:p w14:paraId="06E514F5">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894" w:name="_Toc82639009"/>
      <w:bookmarkStart w:id="1895" w:name="_Toc4083258"/>
      <w:bookmarkStart w:id="1896" w:name="_Toc6206"/>
      <w:r>
        <w:rPr>
          <w:rFonts w:hint="eastAsia" w:cs="Times New Roman"/>
          <w:b/>
          <w:kern w:val="2"/>
          <w:sz w:val="21"/>
          <w:szCs w:val="21"/>
          <w14:ligatures w14:val="standardContextual"/>
        </w:rPr>
        <w:t>部署实施与培训</w:t>
      </w:r>
      <w:bookmarkEnd w:id="1894"/>
      <w:bookmarkEnd w:id="1895"/>
      <w:bookmarkEnd w:id="1896"/>
    </w:p>
    <w:p w14:paraId="0DBB8D48">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投标人需承担供货范围内所有软件的安装、部署、调试和系统集成联调工作。安装调试时所使用的仪器、工具、设备由投标人负责。投标人因以上安装集成、调试工作所产生的费用由投标人承担。</w:t>
      </w:r>
    </w:p>
    <w:p w14:paraId="16AD5782">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安装调试前</w:t>
      </w:r>
      <w:r>
        <w:rPr>
          <w:rFonts w:cs="Times New Roman"/>
          <w:kern w:val="2"/>
          <w:sz w:val="21"/>
          <w:szCs w:val="21"/>
          <w14:ligatures w14:val="standardContextual"/>
        </w:rPr>
        <w:t>1</w:t>
      </w:r>
      <w:r>
        <w:rPr>
          <w:rFonts w:hint="eastAsia" w:cs="Times New Roman"/>
          <w:kern w:val="2"/>
          <w:sz w:val="21"/>
          <w:szCs w:val="21"/>
          <w14:ligatures w14:val="standardContextual"/>
        </w:rPr>
        <w:t>周，投标人应向招标人提供安装调试计划，在安装调试中，投标方有责任对招标方的技术人员提出的问题做出解答。测试过程应进行详细记录，系统测试结束后，由投标方技术人员签字后交给招标方验收。</w:t>
      </w:r>
    </w:p>
    <w:p w14:paraId="47EC958B">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投标人应指派有经验的工程师到现场负责安装调试工作；招标人对于不能胜任的工作人员，有权要求投标人调换，费用由投标人负责。</w:t>
      </w:r>
    </w:p>
    <w:p w14:paraId="7E5B9A84">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安装调试工作必须有招标人代表在场；招标人代表应在投标人技术人员的许可和指导下参加安装调试工作，投标人有责任对招标人技术人员提出的问题做出回答。</w:t>
      </w:r>
    </w:p>
    <w:p w14:paraId="61D8B215">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系统安装调试过程中，若技术文件需要更改，投标人应免费提供改正后的全部技术文件。</w:t>
      </w:r>
    </w:p>
    <w:p w14:paraId="7887386A">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安装调试完成后，投标人应向招标人提供系统的安装调试报告。</w:t>
      </w:r>
    </w:p>
    <w:p w14:paraId="2AED41CE">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897" w:name="_Toc22097"/>
      <w:bookmarkStart w:id="1898" w:name="_Toc82639010"/>
      <w:bookmarkStart w:id="1899" w:name="_Toc4083259"/>
      <w:r>
        <w:rPr>
          <w:rFonts w:hint="eastAsia" w:cs="Times New Roman"/>
          <w:b/>
          <w:kern w:val="2"/>
          <w:sz w:val="21"/>
          <w:szCs w:val="21"/>
          <w14:ligatures w14:val="standardContextual"/>
        </w:rPr>
        <w:t>系统试运行</w:t>
      </w:r>
      <w:bookmarkEnd w:id="1897"/>
      <w:bookmarkEnd w:id="1898"/>
      <w:bookmarkEnd w:id="1899"/>
    </w:p>
    <w:p w14:paraId="7D0B18BE">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系统投入试运行前，需通过最终用户组织的联调和测试，测试结果必须满足本招标书所规定的技术和功能要求。测试计划、测试内容和测试方法由投标方提出，并经最终用户确认。</w:t>
      </w:r>
    </w:p>
    <w:p w14:paraId="3A8A99FB">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900" w:name="_Toc4083260"/>
      <w:bookmarkStart w:id="1901" w:name="_Toc14216"/>
      <w:bookmarkStart w:id="1902" w:name="_Toc82639011"/>
      <w:r>
        <w:rPr>
          <w:rFonts w:hint="eastAsia" w:cs="Times New Roman"/>
          <w:b/>
          <w:kern w:val="2"/>
          <w:sz w:val="21"/>
          <w:szCs w:val="21"/>
          <w14:ligatures w14:val="standardContextual"/>
        </w:rPr>
        <w:t>系统验收</w:t>
      </w:r>
      <w:bookmarkEnd w:id="1900"/>
      <w:bookmarkEnd w:id="1901"/>
      <w:bookmarkEnd w:id="1902"/>
    </w:p>
    <w:p w14:paraId="5C340B12">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为了保证系统能够满足最终用户的实际需求，招标方将指定相关人员组成项目验收小组，对系统进行最终验收。</w:t>
      </w:r>
    </w:p>
    <w:p w14:paraId="201E8A8B">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系统试运行合格后，投标人以书面形式向招标人递交系统最终验收申请，招标人在收到申请后的</w:t>
      </w:r>
      <w:r>
        <w:rPr>
          <w:rFonts w:cs="Times New Roman"/>
          <w:kern w:val="2"/>
          <w:sz w:val="21"/>
          <w:szCs w:val="21"/>
          <w14:ligatures w14:val="standardContextual"/>
        </w:rPr>
        <w:t>10</w:t>
      </w:r>
      <w:r>
        <w:rPr>
          <w:rFonts w:hint="eastAsia" w:cs="Times New Roman"/>
          <w:kern w:val="2"/>
          <w:sz w:val="21"/>
          <w:szCs w:val="21"/>
          <w14:ligatures w14:val="standardContextual"/>
        </w:rPr>
        <w:t>个工作日内，安排系统最终验收工作，系统检验合格后，出具《最终验收报告》，各相关方签字盖章。</w:t>
      </w:r>
    </w:p>
    <w:p w14:paraId="46BED8C5">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目的：验证工程是否全面达到设计要求和项目建设要求。</w:t>
      </w:r>
    </w:p>
    <w:p w14:paraId="085E9FD8">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检查：核对技术文档的完整性。</w:t>
      </w:r>
    </w:p>
    <w:p w14:paraId="5BE82F5E">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项目终验通过后，全部系统竣工。终验时，投标方向招标方提交全部系统文档资料。</w:t>
      </w:r>
    </w:p>
    <w:p w14:paraId="6BC81965">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验收过程所发生的一切费用由中标人承担，已包含在报价中。</w:t>
      </w:r>
    </w:p>
    <w:p w14:paraId="786F8D99">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903" w:name="_Toc2431"/>
      <w:bookmarkStart w:id="1904" w:name="_Toc82639012"/>
      <w:bookmarkStart w:id="1905" w:name="_Toc4083261"/>
      <w:r>
        <w:rPr>
          <w:rFonts w:cs="Times New Roman"/>
          <w:b/>
          <w:kern w:val="2"/>
          <w:sz w:val="21"/>
          <w:szCs w:val="21"/>
          <w14:ligatures w14:val="standardContextual"/>
        </w:rPr>
        <w:t>培训条款</w:t>
      </w:r>
      <w:bookmarkEnd w:id="1903"/>
      <w:bookmarkEnd w:id="1904"/>
      <w:bookmarkEnd w:id="1905"/>
    </w:p>
    <w:p w14:paraId="6E57DD59">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（1）</w:t>
      </w:r>
      <w:r>
        <w:rPr>
          <w:rFonts w:cs="Times New Roman"/>
          <w:kern w:val="2"/>
          <w:sz w:val="21"/>
          <w:szCs w:val="21"/>
          <w14:ligatures w14:val="standardContextual"/>
        </w:rPr>
        <w:t>中标供应商应对采购人的系统管理和使用人员进行操作培训。使采购人员能掌握系统的使用、后台维护和</w:t>
      </w:r>
      <w:r>
        <w:rPr>
          <w:rFonts w:hint="eastAsia" w:cs="Times New Roman"/>
          <w:kern w:val="2"/>
          <w:sz w:val="21"/>
          <w:szCs w:val="21"/>
          <w14:ligatures w14:val="standardContextual"/>
        </w:rPr>
        <w:t>系统</w:t>
      </w:r>
      <w:r>
        <w:rPr>
          <w:rFonts w:cs="Times New Roman"/>
          <w:kern w:val="2"/>
          <w:sz w:val="21"/>
          <w:szCs w:val="21"/>
          <w14:ligatures w14:val="standardContextual"/>
        </w:rPr>
        <w:t>管理，达到能独立进行操作、日常测试维护等工作的目的；</w:t>
      </w:r>
    </w:p>
    <w:p w14:paraId="564D1CFB">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w:t>
      </w:r>
      <w:r>
        <w:rPr>
          <w:rFonts w:cs="Times New Roman"/>
          <w:kern w:val="2"/>
          <w:sz w:val="21"/>
          <w:szCs w:val="21"/>
          <w14:ligatures w14:val="standardContextual"/>
        </w:rPr>
        <w:t>2</w:t>
      </w:r>
      <w:r>
        <w:rPr>
          <w:rFonts w:hint="eastAsia" w:cs="Times New Roman"/>
          <w:kern w:val="2"/>
          <w:sz w:val="21"/>
          <w:szCs w:val="21"/>
          <w14:ligatures w14:val="standardContextual"/>
        </w:rPr>
        <w:t>）</w:t>
      </w:r>
      <w:r>
        <w:rPr>
          <w:rFonts w:cs="Times New Roman"/>
          <w:kern w:val="2"/>
          <w:sz w:val="21"/>
          <w:szCs w:val="21"/>
          <w14:ligatures w14:val="standardContextual"/>
        </w:rPr>
        <w:t>中标供应商应针对不同的系统角色用户提供详细的应用培训课程；</w:t>
      </w:r>
    </w:p>
    <w:p w14:paraId="11FF1A7D">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（3）</w:t>
      </w:r>
      <w:r>
        <w:rPr>
          <w:rFonts w:cs="Times New Roman"/>
          <w:kern w:val="2"/>
          <w:sz w:val="21"/>
          <w:szCs w:val="21"/>
          <w14:ligatures w14:val="standardContextual"/>
        </w:rPr>
        <w:t>培训地点：现场培训；</w:t>
      </w:r>
    </w:p>
    <w:p w14:paraId="341BB19C">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（4）</w:t>
      </w:r>
      <w:r>
        <w:rPr>
          <w:rFonts w:cs="Times New Roman"/>
          <w:kern w:val="2"/>
          <w:sz w:val="21"/>
          <w:szCs w:val="21"/>
          <w14:ligatures w14:val="standardContextual"/>
        </w:rPr>
        <w:t>培训费用：与培训活动有关的一切费用由中标供应商承担。</w:t>
      </w:r>
    </w:p>
    <w:p w14:paraId="71690D40">
      <w:pPr>
        <w:keepNext/>
        <w:keepLines/>
        <w:widowControl w:val="0"/>
        <w:numPr>
          <w:ilvl w:val="1"/>
          <w:numId w:val="11"/>
        </w:numPr>
        <w:spacing w:line="360" w:lineRule="auto"/>
        <w:ind w:firstLine="200"/>
        <w:outlineLvl w:val="1"/>
        <w:rPr>
          <w:rFonts w:hint="eastAsia" w:cs="Times New Roman"/>
          <w:b/>
          <w:kern w:val="2"/>
          <w:sz w:val="21"/>
          <w:szCs w:val="21"/>
          <w14:ligatures w14:val="standardContextual"/>
        </w:rPr>
      </w:pPr>
      <w:bookmarkStart w:id="1906" w:name="_Toc4083262"/>
      <w:bookmarkStart w:id="1907" w:name="_Toc82639013"/>
      <w:bookmarkStart w:id="1908" w:name="_Toc6902"/>
      <w:r>
        <w:rPr>
          <w:rFonts w:cs="Times New Roman"/>
          <w:b/>
          <w:kern w:val="2"/>
          <w:sz w:val="21"/>
          <w:szCs w:val="21"/>
          <w14:ligatures w14:val="standardContextual"/>
        </w:rPr>
        <w:t>技术文档要求</w:t>
      </w:r>
      <w:bookmarkEnd w:id="1906"/>
      <w:bookmarkEnd w:id="1907"/>
      <w:bookmarkEnd w:id="1908"/>
    </w:p>
    <w:p w14:paraId="718AC1C6">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（1）</w:t>
      </w:r>
      <w:r>
        <w:rPr>
          <w:rFonts w:cs="Times New Roman"/>
          <w:kern w:val="2"/>
          <w:sz w:val="21"/>
          <w:szCs w:val="21"/>
          <w14:ligatures w14:val="standardContextual"/>
        </w:rPr>
        <w:t>中标供应商在向采购人安装系统的同时，应提供系统及其附件的技术文档，包括技术方案、数据库文档、使用说明书、安装与调试、维护等详细技术资料；</w:t>
      </w:r>
    </w:p>
    <w:p w14:paraId="3B849B42">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w:t>
      </w:r>
      <w:r>
        <w:rPr>
          <w:rFonts w:cs="Times New Roman"/>
          <w:kern w:val="2"/>
          <w:sz w:val="21"/>
          <w:szCs w:val="21"/>
          <w14:ligatures w14:val="standardContextual"/>
        </w:rPr>
        <w:t>2</w:t>
      </w:r>
      <w:r>
        <w:rPr>
          <w:rFonts w:hint="eastAsia" w:cs="Times New Roman"/>
          <w:kern w:val="2"/>
          <w:sz w:val="21"/>
          <w:szCs w:val="21"/>
          <w14:ligatures w14:val="standardContextual"/>
        </w:rPr>
        <w:t>）</w:t>
      </w:r>
      <w:r>
        <w:rPr>
          <w:rFonts w:cs="Times New Roman"/>
          <w:kern w:val="2"/>
          <w:sz w:val="21"/>
          <w:szCs w:val="21"/>
          <w14:ligatures w14:val="standardContextual"/>
        </w:rPr>
        <w:t>中标供应商提供的技术文档应与其提供的系统相一致，技术文档应该全面、完整、详细；</w:t>
      </w:r>
    </w:p>
    <w:p w14:paraId="76D2D576">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（3）</w:t>
      </w:r>
      <w:r>
        <w:rPr>
          <w:rFonts w:cs="Times New Roman"/>
          <w:kern w:val="2"/>
          <w:sz w:val="21"/>
          <w:szCs w:val="21"/>
          <w14:ligatures w14:val="standardContextual"/>
        </w:rPr>
        <w:t>中标供应商向采购人提供的所有技术资料均应有电子版和印刷版。</w:t>
      </w:r>
    </w:p>
    <w:p w14:paraId="37E4DFF8">
      <w:pPr>
        <w:keepNext/>
        <w:keepLines/>
        <w:widowControl w:val="0"/>
        <w:numPr>
          <w:ilvl w:val="0"/>
          <w:numId w:val="11"/>
        </w:numPr>
        <w:spacing w:line="360" w:lineRule="auto"/>
        <w:ind w:firstLine="200"/>
        <w:outlineLvl w:val="0"/>
        <w:rPr>
          <w:rFonts w:hint="eastAsia" w:cs="Times New Roman"/>
          <w:b/>
          <w:color w:val="000000"/>
          <w:kern w:val="2"/>
          <w:sz w:val="21"/>
          <w:szCs w:val="21"/>
          <w14:ligatures w14:val="standardContextual"/>
        </w:rPr>
      </w:pPr>
      <w:bookmarkStart w:id="1909" w:name="_Toc4083263"/>
      <w:bookmarkStart w:id="1910" w:name="_Toc82639014"/>
      <w:bookmarkStart w:id="1911" w:name="_Toc22510"/>
      <w:r>
        <w:rPr>
          <w:rFonts w:hint="eastAsia" w:cs="Times New Roman"/>
          <w:b/>
          <w:color w:val="000000"/>
          <w:kern w:val="2"/>
          <w:sz w:val="21"/>
          <w:szCs w:val="21"/>
          <w14:ligatures w14:val="standardContextual"/>
        </w:rPr>
        <w:t>验收条件</w:t>
      </w:r>
      <w:bookmarkEnd w:id="1909"/>
      <w:bookmarkEnd w:id="1910"/>
      <w:bookmarkEnd w:id="1911"/>
    </w:p>
    <w:p w14:paraId="45B30CA8">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（1）验收条件：项目进行过程的每个阶段完成后，中标供应商应及时通知采购人，进行相关事项的讨论，并根据采购人提出的整改意见及时整改。</w:t>
      </w:r>
    </w:p>
    <w:p w14:paraId="61587134">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w:t>
      </w:r>
      <w:r>
        <w:rPr>
          <w:rFonts w:cs="Times New Roman"/>
          <w:kern w:val="2"/>
          <w:sz w:val="21"/>
          <w:szCs w:val="21"/>
          <w14:ligatures w14:val="standardContextual"/>
        </w:rPr>
        <w:t>2</w:t>
      </w:r>
      <w:r>
        <w:rPr>
          <w:rFonts w:hint="eastAsia" w:cs="Times New Roman"/>
          <w:kern w:val="2"/>
          <w:sz w:val="21"/>
          <w:szCs w:val="21"/>
          <w14:ligatures w14:val="standardContextual"/>
        </w:rPr>
        <w:t>）验收依据：招标文件、投标文件及国家、省、市有关的标准规定，均为验收依据。</w:t>
      </w:r>
    </w:p>
    <w:p w14:paraId="0DEFA929">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 xml:space="preserve">（3）采购人与中标供应商签订承包合同，根据招标文件规定和中标供应商的投标响应承诺约定具体事项和考核办法，中标供应商若发生违约行为或考核不合格，采购人有权终止合同的履行。 </w:t>
      </w:r>
    </w:p>
    <w:p w14:paraId="1963924B">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（4）验收时中标供应商必须派代表参加。</w:t>
      </w:r>
    </w:p>
    <w:p w14:paraId="49FF47C8">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（5）验收过程所发生的一切费用由中标供应商承担。</w:t>
      </w:r>
    </w:p>
    <w:p w14:paraId="4DE2FDF8">
      <w:pPr>
        <w:widowControl w:val="0"/>
        <w:spacing w:line="360" w:lineRule="auto"/>
        <w:ind w:firstLine="420" w:firstLineChars="200"/>
        <w:rPr>
          <w:rFonts w:hint="eastAsia" w:cs="Times New Roman"/>
          <w:kern w:val="2"/>
          <w:sz w:val="21"/>
          <w:szCs w:val="21"/>
          <w14:ligatures w14:val="standardContextual"/>
        </w:rPr>
      </w:pPr>
      <w:r>
        <w:rPr>
          <w:rFonts w:hint="eastAsia" w:cs="Times New Roman"/>
          <w:kern w:val="2"/>
          <w:sz w:val="21"/>
          <w:szCs w:val="21"/>
          <w14:ligatures w14:val="standardContextual"/>
        </w:rPr>
        <w:t>（6）中标供应商在履约过程中若有出现安全事故，其责任及相应的赔偿均由中标供应商自行承担，采购人不承担所有责任及义务。</w:t>
      </w:r>
    </w:p>
    <w:p w14:paraId="0AA7750F">
      <w:pPr>
        <w:pStyle w:val="15"/>
        <w:rPr>
          <w:rFonts w:hint="eastAsia" w:asciiTheme="minorEastAsia" w:hAnsiTheme="minorEastAsia" w:eastAsiaTheme="minorEastAsia" w:cstheme="minorEastAsia"/>
          <w:szCs w:val="21"/>
        </w:rPr>
      </w:pPr>
    </w:p>
    <w:p w14:paraId="76C6C9EB">
      <w:pPr>
        <w:rPr>
          <w:rFonts w:hint="eastAsia" w:asciiTheme="minorEastAsia" w:hAnsiTheme="minorEastAsia" w:eastAsiaTheme="minorEastAsia" w:cstheme="minorEastAsia"/>
          <w:sz w:val="21"/>
          <w:szCs w:val="21"/>
        </w:rPr>
      </w:pPr>
    </w:p>
    <w:p w14:paraId="28317379">
      <w:pPr>
        <w:pStyle w:val="15"/>
        <w:sectPr>
          <w:pgSz w:w="11906" w:h="16838"/>
          <w:pgMar w:top="1440" w:right="1800" w:bottom="1440" w:left="1800" w:header="851" w:footer="992" w:gutter="0"/>
          <w:cols w:space="720" w:num="1"/>
          <w:docGrid w:type="lines" w:linePitch="326" w:charSpace="0"/>
        </w:sectPr>
      </w:pPr>
    </w:p>
    <w:p w14:paraId="558174C2">
      <w:pPr>
        <w:spacing w:line="360" w:lineRule="auto"/>
        <w:rPr>
          <w:rFonts w:ascii="Times New Roman" w:hAnsi="Times New Roman" w:cs="Times New Roman"/>
          <w:szCs w:val="21"/>
        </w:rPr>
      </w:pPr>
    </w:p>
    <w:p w14:paraId="0753CB8A">
      <w:pPr>
        <w:spacing w:line="360" w:lineRule="auto"/>
        <w:ind w:firstLine="480" w:firstLineChars="200"/>
        <w:rPr>
          <w:rFonts w:ascii="Times New Roman" w:hAnsi="Times New Roman" w:cs="Times New Roman"/>
          <w:szCs w:val="21"/>
        </w:rPr>
      </w:pPr>
    </w:p>
    <w:p w14:paraId="2B0B59D4">
      <w:pPr>
        <w:spacing w:line="360" w:lineRule="auto"/>
        <w:ind w:firstLine="480" w:firstLineChars="200"/>
        <w:rPr>
          <w:rFonts w:ascii="Times New Roman" w:hAnsi="Times New Roman" w:cs="Times New Roman"/>
          <w:szCs w:val="21"/>
        </w:rPr>
      </w:pPr>
    </w:p>
    <w:p w14:paraId="5144F3F9">
      <w:pPr>
        <w:spacing w:line="360" w:lineRule="auto"/>
        <w:ind w:firstLine="480" w:firstLineChars="200"/>
        <w:rPr>
          <w:rFonts w:ascii="Times New Roman" w:hAnsi="Times New Roman" w:cs="Times New Roman"/>
          <w:szCs w:val="21"/>
        </w:rPr>
      </w:pPr>
    </w:p>
    <w:p w14:paraId="11A8108E">
      <w:pPr>
        <w:pStyle w:val="15"/>
      </w:pPr>
    </w:p>
    <w:p w14:paraId="292D67F6">
      <w:pPr>
        <w:spacing w:line="360" w:lineRule="auto"/>
        <w:ind w:firstLine="480" w:firstLineChars="200"/>
        <w:rPr>
          <w:rFonts w:ascii="Times New Roman" w:hAnsi="Times New Roman" w:cs="Times New Roman"/>
          <w:szCs w:val="21"/>
        </w:rPr>
      </w:pPr>
    </w:p>
    <w:p w14:paraId="595ECBCE">
      <w:pPr>
        <w:spacing w:line="360" w:lineRule="auto"/>
        <w:ind w:firstLine="480" w:firstLineChars="200"/>
        <w:rPr>
          <w:rFonts w:ascii="Times New Roman" w:hAnsi="Times New Roman" w:cs="Times New Roman"/>
          <w:szCs w:val="21"/>
        </w:rPr>
      </w:pPr>
    </w:p>
    <w:p w14:paraId="4C6ED1E7">
      <w:pPr>
        <w:spacing w:line="360" w:lineRule="auto"/>
        <w:ind w:firstLine="480" w:firstLineChars="200"/>
        <w:rPr>
          <w:rFonts w:ascii="Times New Roman" w:hAnsi="Times New Roman" w:cs="Times New Roman"/>
          <w:szCs w:val="21"/>
        </w:rPr>
      </w:pPr>
    </w:p>
    <w:p w14:paraId="36E03146">
      <w:pPr>
        <w:spacing w:line="360" w:lineRule="auto"/>
        <w:ind w:firstLine="480" w:firstLineChars="200"/>
        <w:rPr>
          <w:rFonts w:ascii="Times New Roman" w:hAnsi="Times New Roman" w:cs="Times New Roman"/>
          <w:szCs w:val="21"/>
        </w:rPr>
      </w:pPr>
    </w:p>
    <w:p w14:paraId="1FB2FEBF">
      <w:pPr>
        <w:pStyle w:val="63"/>
        <w:numPr>
          <w:ilvl w:val="0"/>
          <w:numId w:val="4"/>
        </w:numPr>
        <w:spacing w:line="360" w:lineRule="auto"/>
        <w:ind w:left="1276" w:hanging="1276" w:firstLineChars="0"/>
        <w:jc w:val="center"/>
        <w:outlineLvl w:val="0"/>
        <w:rPr>
          <w:rFonts w:ascii="Times New Roman" w:hAnsi="Times New Roman" w:eastAsia="黑体" w:cs="Times New Roman"/>
          <w:b/>
          <w:sz w:val="44"/>
          <w:szCs w:val="44"/>
        </w:rPr>
      </w:pPr>
      <w:bookmarkStart w:id="1912" w:name="_Toc30362"/>
      <w:r>
        <w:rPr>
          <w:rFonts w:ascii="Times New Roman" w:hAnsi="Times New Roman" w:eastAsia="黑体" w:cs="Times New Roman"/>
          <w:b/>
          <w:sz w:val="44"/>
          <w:szCs w:val="44"/>
        </w:rPr>
        <w:t>附件--投标文件格式</w:t>
      </w:r>
      <w:bookmarkEnd w:id="1912"/>
    </w:p>
    <w:p w14:paraId="02D4CE7E">
      <w:pPr>
        <w:spacing w:line="360" w:lineRule="auto"/>
        <w:ind w:firstLine="480" w:firstLineChars="200"/>
        <w:rPr>
          <w:rFonts w:ascii="Times New Roman" w:hAnsi="Times New Roman" w:cs="Times New Roman"/>
          <w:szCs w:val="21"/>
        </w:rPr>
      </w:pPr>
    </w:p>
    <w:p w14:paraId="40136992">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5DC0D7DF">
      <w:pPr>
        <w:pStyle w:val="63"/>
        <w:tabs>
          <w:tab w:val="left" w:pos="1276"/>
        </w:tabs>
        <w:spacing w:line="360" w:lineRule="auto"/>
        <w:ind w:firstLine="0" w:firstLineChars="0"/>
        <w:rPr>
          <w:rFonts w:ascii="Times New Roman" w:hAnsi="Times New Roman" w:cs="Times New Roman"/>
          <w:b/>
        </w:rPr>
      </w:pPr>
    </w:p>
    <w:p w14:paraId="2852B7B0">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13" w:name="_Toc23754"/>
      <w:r>
        <w:rPr>
          <w:rFonts w:ascii="Times New Roman" w:hAnsi="Times New Roman" w:cs="Times New Roman"/>
          <w:b/>
        </w:rPr>
        <w:t>投标书</w:t>
      </w:r>
      <w:bookmarkEnd w:id="1913"/>
    </w:p>
    <w:p w14:paraId="04335305">
      <w:pPr>
        <w:spacing w:line="360" w:lineRule="auto"/>
        <w:rPr>
          <w:rFonts w:ascii="Times New Roman" w:hAnsi="Times New Roman" w:cs="Times New Roman"/>
          <w:sz w:val="21"/>
          <w:szCs w:val="21"/>
        </w:rPr>
      </w:pPr>
      <w:r>
        <w:rPr>
          <w:rFonts w:ascii="Times New Roman" w:hAnsi="Times New Roman" w:cs="Times New Roman"/>
          <w:sz w:val="21"/>
          <w:szCs w:val="21"/>
        </w:rPr>
        <w:t>致：</w:t>
      </w:r>
      <w:r>
        <w:rPr>
          <w:rFonts w:ascii="Times New Roman" w:hAnsi="Times New Roman" w:cs="Times New Roman"/>
          <w:b/>
          <w:sz w:val="21"/>
          <w:szCs w:val="21"/>
          <w:u w:val="single"/>
        </w:rPr>
        <w:t>招标代理机构</w:t>
      </w:r>
    </w:p>
    <w:p w14:paraId="370D89B1">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根据贵方为</w:t>
      </w:r>
      <w:r>
        <w:rPr>
          <w:rFonts w:ascii="Times New Roman" w:hAnsi="Times New Roman" w:cs="Times New Roman"/>
          <w:sz w:val="21"/>
          <w:szCs w:val="21"/>
          <w:u w:val="single"/>
        </w:rPr>
        <w:t xml:space="preserve">                      </w:t>
      </w:r>
      <w:r>
        <w:rPr>
          <w:rFonts w:ascii="Times New Roman" w:hAnsi="Times New Roman" w:cs="Times New Roman"/>
          <w:sz w:val="21"/>
          <w:szCs w:val="21"/>
        </w:rPr>
        <w:t>项目招标的投标邀请</w:t>
      </w:r>
      <w:r>
        <w:rPr>
          <w:rFonts w:ascii="Times New Roman" w:hAnsi="Times New Roman" w:cs="Times New Roman"/>
          <w:sz w:val="21"/>
          <w:szCs w:val="21"/>
          <w:u w:val="single"/>
        </w:rPr>
        <w:t xml:space="preserve">                        </w:t>
      </w:r>
    </w:p>
    <w:p w14:paraId="4438E6DB">
      <w:pPr>
        <w:spacing w:line="360" w:lineRule="auto"/>
        <w:rPr>
          <w:rFonts w:ascii="Times New Roman" w:hAnsi="Times New Roman" w:cs="Times New Roman"/>
          <w:sz w:val="21"/>
          <w:szCs w:val="21"/>
          <w:u w:val="single"/>
        </w:rPr>
      </w:pPr>
      <w:r>
        <w:rPr>
          <w:rFonts w:ascii="Times New Roman" w:hAnsi="Times New Roman" w:cs="Times New Roman"/>
          <w:sz w:val="21"/>
          <w:szCs w:val="21"/>
        </w:rPr>
        <w:t>（招标编号），签字代表</w:t>
      </w:r>
      <w:r>
        <w:rPr>
          <w:rFonts w:ascii="Times New Roman" w:hAnsi="Times New Roman" w:cs="Times New Roman"/>
          <w:sz w:val="21"/>
          <w:szCs w:val="21"/>
          <w:u w:val="single"/>
        </w:rPr>
        <w:t xml:space="preserve">              </w:t>
      </w:r>
      <w:r>
        <w:rPr>
          <w:rFonts w:ascii="Times New Roman" w:hAnsi="Times New Roman" w:cs="Times New Roman"/>
          <w:sz w:val="21"/>
          <w:szCs w:val="21"/>
        </w:rPr>
        <w:t>(全名、职务)经正式授权并代表</w:t>
      </w:r>
      <w:r>
        <w:rPr>
          <w:rFonts w:ascii="Times New Roman" w:hAnsi="Times New Roman" w:cs="Times New Roman"/>
          <w:sz w:val="21"/>
          <w:szCs w:val="21"/>
          <w:u w:val="single"/>
        </w:rPr>
        <w:t xml:space="preserve">                 </w:t>
      </w:r>
    </w:p>
    <w:p w14:paraId="36AC7DCE">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u w:val="single"/>
        </w:rPr>
        <w:t xml:space="preserve">           </w:t>
      </w:r>
      <w:r>
        <w:rPr>
          <w:rFonts w:ascii="Times New Roman" w:hAnsi="Times New Roman" w:cs="Times New Roman"/>
          <w:sz w:val="21"/>
          <w:szCs w:val="21"/>
        </w:rPr>
        <w:t>(投标人名称、地址）提交下述纸质文件正本一份和副本一式</w:t>
      </w:r>
      <w:r>
        <w:rPr>
          <w:rFonts w:hint="eastAsia" w:ascii="Times New Roman" w:hAnsi="Times New Roman" w:cs="Times New Roman"/>
          <w:sz w:val="21"/>
          <w:szCs w:val="21"/>
        </w:rPr>
        <w:t>四</w:t>
      </w:r>
      <w:r>
        <w:rPr>
          <w:rFonts w:ascii="Times New Roman" w:hAnsi="Times New Roman" w:cs="Times New Roman"/>
          <w:sz w:val="21"/>
          <w:szCs w:val="21"/>
        </w:rPr>
        <w:t>份。</w:t>
      </w:r>
    </w:p>
    <w:p w14:paraId="675A4779">
      <w:pPr>
        <w:numPr>
          <w:ilvl w:val="0"/>
          <w:numId w:val="2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报价一览表</w:t>
      </w:r>
    </w:p>
    <w:p w14:paraId="1904FE83">
      <w:pPr>
        <w:numPr>
          <w:ilvl w:val="0"/>
          <w:numId w:val="2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价格明细表</w:t>
      </w:r>
    </w:p>
    <w:p w14:paraId="16862B53">
      <w:pPr>
        <w:numPr>
          <w:ilvl w:val="0"/>
          <w:numId w:val="2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按招标文件要求提供的其它全部文件</w:t>
      </w:r>
    </w:p>
    <w:p w14:paraId="255CDBB0">
      <w:pPr>
        <w:numPr>
          <w:ilvl w:val="0"/>
          <w:numId w:val="2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 xml:space="preserve">已交纳投标保证金，金额为 </w:t>
      </w:r>
      <w:r>
        <w:rPr>
          <w:rFonts w:ascii="Times New Roman" w:hAnsi="Times New Roman" w:cs="Times New Roman"/>
          <w:sz w:val="21"/>
          <w:szCs w:val="21"/>
          <w:u w:val="single"/>
        </w:rPr>
        <w:t xml:space="preserve">                                   </w:t>
      </w:r>
    </w:p>
    <w:p w14:paraId="2602DE29">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据此函，签字代表宣布同意如下：</w:t>
      </w:r>
    </w:p>
    <w:p w14:paraId="310DC81C">
      <w:pPr>
        <w:numPr>
          <w:ilvl w:val="0"/>
          <w:numId w:val="23"/>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所附投标表中规定的投标报价为</w:t>
      </w:r>
      <w:r>
        <w:rPr>
          <w:rFonts w:ascii="Times New Roman" w:hAnsi="Times New Roman" w:cs="Times New Roman"/>
          <w:sz w:val="21"/>
          <w:szCs w:val="21"/>
          <w:u w:val="single"/>
        </w:rPr>
        <w:t xml:space="preserve">               </w:t>
      </w:r>
      <w:r>
        <w:rPr>
          <w:rFonts w:ascii="Times New Roman" w:hAnsi="Times New Roman" w:cs="Times New Roman"/>
          <w:sz w:val="21"/>
          <w:szCs w:val="21"/>
        </w:rPr>
        <w:t>元（即：大写金额</w:t>
      </w:r>
      <w:r>
        <w:rPr>
          <w:rFonts w:ascii="Times New Roman" w:hAnsi="Times New Roman" w:cs="Times New Roman"/>
          <w:sz w:val="21"/>
          <w:szCs w:val="21"/>
          <w:u w:val="single"/>
        </w:rPr>
        <w:t xml:space="preserve">            </w:t>
      </w:r>
      <w:r>
        <w:rPr>
          <w:rFonts w:ascii="Times New Roman" w:hAnsi="Times New Roman" w:cs="Times New Roman"/>
          <w:sz w:val="21"/>
          <w:szCs w:val="21"/>
        </w:rPr>
        <w:t>）。</w:t>
      </w:r>
    </w:p>
    <w:p w14:paraId="679B9D13">
      <w:pPr>
        <w:numPr>
          <w:ilvl w:val="0"/>
          <w:numId w:val="23"/>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投标人将按招标文件的规定履行合同责任和义务。</w:t>
      </w:r>
    </w:p>
    <w:p w14:paraId="099DA1CE">
      <w:pPr>
        <w:numPr>
          <w:ilvl w:val="0"/>
          <w:numId w:val="23"/>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投标人已详细审查全部招标文件，包括修改文件（如有的话）以及全部参考资料和有关附件。我们完全理解并同意放弃对这方面有不明及误解的权利。</w:t>
      </w:r>
    </w:p>
    <w:p w14:paraId="324020AB">
      <w:pPr>
        <w:numPr>
          <w:ilvl w:val="0"/>
          <w:numId w:val="23"/>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本投标自宣读投标日起有效期为</w:t>
      </w:r>
      <w:r>
        <w:rPr>
          <w:rFonts w:ascii="Times New Roman" w:hAnsi="Times New Roman" w:cs="Times New Roman"/>
          <w:sz w:val="21"/>
          <w:szCs w:val="21"/>
          <w:u w:val="single"/>
        </w:rPr>
        <w:t xml:space="preserve">         </w:t>
      </w:r>
      <w:r>
        <w:rPr>
          <w:rFonts w:ascii="Times New Roman" w:hAnsi="Times New Roman" w:cs="Times New Roman"/>
          <w:sz w:val="21"/>
          <w:szCs w:val="21"/>
        </w:rPr>
        <w:t>个日历日。</w:t>
      </w:r>
    </w:p>
    <w:p w14:paraId="7BD3DB9D">
      <w:pPr>
        <w:numPr>
          <w:ilvl w:val="0"/>
          <w:numId w:val="23"/>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如果在规定的投标截止时间之后投标人撤销投标，其投标保证金将被贵方没收。</w:t>
      </w:r>
    </w:p>
    <w:p w14:paraId="54E9DA96">
      <w:pPr>
        <w:numPr>
          <w:ilvl w:val="0"/>
          <w:numId w:val="23"/>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投标人同意提供按照贵方可能要求的与其投标有关的一切数据或资料，完全理解贵方不一定要接受最低价的投标或收到的任何投标。</w:t>
      </w:r>
    </w:p>
    <w:p w14:paraId="161857F6">
      <w:pPr>
        <w:numPr>
          <w:ilvl w:val="0"/>
          <w:numId w:val="23"/>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与本投标有关的一切正式往来通讯请寄：</w:t>
      </w:r>
    </w:p>
    <w:p w14:paraId="715C89DB">
      <w:pPr>
        <w:spacing w:line="360" w:lineRule="auto"/>
        <w:ind w:firstLine="420" w:firstLineChars="200"/>
        <w:rPr>
          <w:rFonts w:ascii="Times New Roman" w:hAnsi="Times New Roman" w:cs="Times New Roman"/>
          <w:sz w:val="21"/>
          <w:szCs w:val="21"/>
        </w:rPr>
      </w:pPr>
    </w:p>
    <w:p w14:paraId="6267B322">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 xml:space="preserve">地址：                                  邮编：                    </w:t>
      </w:r>
    </w:p>
    <w:p w14:paraId="2EE71989">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 xml:space="preserve">电话：                                  传真：                     </w:t>
      </w:r>
    </w:p>
    <w:p w14:paraId="21FA4D72">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 xml:space="preserve">投标人代表姓名、职务（印刷体）：                                   </w:t>
      </w:r>
      <w:r>
        <w:rPr>
          <w:rFonts w:ascii="Times New Roman" w:hAnsi="Times New Roman" w:cs="Times New Roman"/>
          <w:sz w:val="21"/>
          <w:szCs w:val="21"/>
        </w:rPr>
        <w:cr/>
      </w:r>
      <w:r>
        <w:rPr>
          <w:rFonts w:ascii="Times New Roman" w:hAnsi="Times New Roman" w:cs="Times New Roman"/>
          <w:sz w:val="21"/>
          <w:szCs w:val="21"/>
        </w:rPr>
        <w:t xml:space="preserve">投标人名称：          （公章）       </w:t>
      </w:r>
    </w:p>
    <w:p w14:paraId="090C3B71">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授权代表签字：                      日期：      年     月    日</w:t>
      </w:r>
    </w:p>
    <w:p w14:paraId="0916FC27">
      <w:pPr>
        <w:spacing w:line="360" w:lineRule="auto"/>
        <w:rPr>
          <w:rFonts w:ascii="Times New Roman" w:hAnsi="Times New Roman" w:cs="Times New Roman"/>
          <w:szCs w:val="21"/>
        </w:rPr>
      </w:pPr>
      <w:r>
        <w:rPr>
          <w:rFonts w:ascii="Times New Roman" w:hAnsi="Times New Roman" w:cs="Times New Roman"/>
          <w:szCs w:val="21"/>
        </w:rPr>
        <w:br w:type="page"/>
      </w:r>
    </w:p>
    <w:p w14:paraId="2AC84813">
      <w:pPr>
        <w:pStyle w:val="63"/>
        <w:tabs>
          <w:tab w:val="left" w:pos="1276"/>
        </w:tabs>
        <w:spacing w:line="360" w:lineRule="auto"/>
        <w:ind w:firstLine="0" w:firstLineChars="0"/>
        <w:rPr>
          <w:rFonts w:ascii="Times New Roman" w:hAnsi="Times New Roman" w:cs="Times New Roman"/>
          <w:b/>
        </w:rPr>
      </w:pPr>
    </w:p>
    <w:p w14:paraId="64A65235">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14" w:name="_Toc23246"/>
      <w:r>
        <w:rPr>
          <w:rFonts w:ascii="Times New Roman" w:hAnsi="Times New Roman" w:cs="Times New Roman"/>
          <w:b/>
        </w:rPr>
        <w:t>报价一览表</w:t>
      </w:r>
      <w:bookmarkEnd w:id="1914"/>
    </w:p>
    <w:p w14:paraId="725DED37">
      <w:pPr>
        <w:spacing w:line="360" w:lineRule="auto"/>
        <w:rPr>
          <w:rFonts w:ascii="Times New Roman" w:hAnsi="Times New Roman" w:cs="Times New Roman"/>
          <w:sz w:val="21"/>
          <w:szCs w:val="21"/>
        </w:rPr>
      </w:pPr>
      <w:r>
        <w:rPr>
          <w:rFonts w:ascii="Times New Roman" w:hAnsi="Times New Roman" w:cs="Times New Roman"/>
          <w:sz w:val="21"/>
          <w:szCs w:val="21"/>
        </w:rPr>
        <w:t>项目名称：                                            项目编号：</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14:paraId="47FC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2E7CBE18">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投 标 人</w:t>
            </w:r>
          </w:p>
        </w:tc>
        <w:tc>
          <w:tcPr>
            <w:tcW w:w="6713" w:type="dxa"/>
            <w:vAlign w:val="center"/>
          </w:tcPr>
          <w:p w14:paraId="0B74E4A2">
            <w:pPr>
              <w:spacing w:line="360" w:lineRule="auto"/>
              <w:jc w:val="center"/>
              <w:rPr>
                <w:rFonts w:ascii="Times New Roman" w:hAnsi="Times New Roman" w:cs="Times New Roman"/>
                <w:sz w:val="21"/>
                <w:szCs w:val="21"/>
              </w:rPr>
            </w:pPr>
          </w:p>
        </w:tc>
      </w:tr>
      <w:tr w14:paraId="5623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809" w:type="dxa"/>
            <w:vAlign w:val="center"/>
          </w:tcPr>
          <w:p w14:paraId="2FD0A0F0">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投标报价</w:t>
            </w:r>
          </w:p>
        </w:tc>
        <w:tc>
          <w:tcPr>
            <w:tcW w:w="6713" w:type="dxa"/>
            <w:vAlign w:val="center"/>
          </w:tcPr>
          <w:p w14:paraId="18063259">
            <w:pPr>
              <w:spacing w:line="360" w:lineRule="auto"/>
              <w:rPr>
                <w:rFonts w:ascii="Times New Roman" w:hAnsi="Times New Roman" w:cs="Times New Roman"/>
                <w:sz w:val="21"/>
                <w:szCs w:val="21"/>
              </w:rPr>
            </w:pPr>
            <w:r>
              <w:rPr>
                <w:rFonts w:ascii="Times New Roman" w:hAnsi="Times New Roman" w:cs="Times New Roman"/>
                <w:sz w:val="21"/>
                <w:szCs w:val="21"/>
              </w:rPr>
              <w:t>大写金额：人民币</w:t>
            </w:r>
            <w:r>
              <w:rPr>
                <w:rFonts w:ascii="Times New Roman" w:hAnsi="Times New Roman" w:cs="Times New Roman"/>
                <w:sz w:val="21"/>
                <w:szCs w:val="21"/>
                <w:u w:val="single"/>
              </w:rPr>
              <w:t xml:space="preserve">                     </w:t>
            </w:r>
            <w:r>
              <w:rPr>
                <w:rFonts w:ascii="Times New Roman" w:hAnsi="Times New Roman" w:cs="Times New Roman"/>
                <w:sz w:val="21"/>
                <w:szCs w:val="21"/>
              </w:rPr>
              <w:t>圆整</w:t>
            </w:r>
          </w:p>
          <w:p w14:paraId="435911B6">
            <w:pPr>
              <w:spacing w:line="360" w:lineRule="auto"/>
              <w:rPr>
                <w:rFonts w:ascii="Times New Roman" w:hAnsi="Times New Roman" w:cs="Times New Roman"/>
                <w:sz w:val="21"/>
                <w:szCs w:val="21"/>
              </w:rPr>
            </w:pPr>
            <w:r>
              <w:rPr>
                <w:rFonts w:ascii="Times New Roman" w:hAnsi="Times New Roman" w:cs="Times New Roman"/>
                <w:sz w:val="21"/>
                <w:szCs w:val="21"/>
              </w:rPr>
              <w:t>小写金额：￥</w:t>
            </w:r>
            <w:r>
              <w:rPr>
                <w:rFonts w:ascii="Times New Roman" w:hAnsi="Times New Roman" w:cs="Times New Roman"/>
                <w:sz w:val="21"/>
                <w:szCs w:val="21"/>
                <w:u w:val="single"/>
              </w:rPr>
              <w:t xml:space="preserve">                     </w:t>
            </w:r>
          </w:p>
        </w:tc>
      </w:tr>
      <w:tr w14:paraId="4F1F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809" w:type="dxa"/>
            <w:vAlign w:val="center"/>
          </w:tcPr>
          <w:p w14:paraId="5F7B433A">
            <w:pPr>
              <w:spacing w:line="360" w:lineRule="auto"/>
              <w:jc w:val="center"/>
              <w:rPr>
                <w:rFonts w:ascii="Times New Roman" w:hAnsi="Times New Roman" w:cs="Times New Roman"/>
                <w:b/>
                <w:sz w:val="21"/>
                <w:szCs w:val="21"/>
              </w:rPr>
            </w:pPr>
            <w:r>
              <w:rPr>
                <w:rFonts w:hint="eastAsia" w:ascii="Times New Roman" w:hAnsi="Times New Roman" w:cs="Times New Roman"/>
                <w:b/>
                <w:sz w:val="21"/>
                <w:szCs w:val="21"/>
              </w:rPr>
              <w:t>合同履行</w:t>
            </w:r>
            <w:r>
              <w:rPr>
                <w:rFonts w:ascii="Times New Roman" w:hAnsi="Times New Roman" w:cs="Times New Roman"/>
                <w:b/>
                <w:sz w:val="21"/>
                <w:szCs w:val="21"/>
              </w:rPr>
              <w:t>期</w:t>
            </w:r>
            <w:r>
              <w:rPr>
                <w:rFonts w:hint="eastAsia" w:ascii="Times New Roman" w:hAnsi="Times New Roman" w:cs="Times New Roman"/>
                <w:b/>
                <w:sz w:val="21"/>
                <w:szCs w:val="21"/>
              </w:rPr>
              <w:t>限</w:t>
            </w:r>
          </w:p>
        </w:tc>
        <w:tc>
          <w:tcPr>
            <w:tcW w:w="6713" w:type="dxa"/>
            <w:vAlign w:val="center"/>
          </w:tcPr>
          <w:p w14:paraId="00280256">
            <w:pPr>
              <w:spacing w:line="360" w:lineRule="auto"/>
              <w:jc w:val="center"/>
              <w:rPr>
                <w:rFonts w:ascii="Times New Roman" w:hAnsi="Times New Roman" w:cs="Times New Roman"/>
                <w:sz w:val="21"/>
                <w:szCs w:val="21"/>
              </w:rPr>
            </w:pPr>
          </w:p>
        </w:tc>
      </w:tr>
      <w:tr w14:paraId="06FB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3ADB7C57">
            <w:pPr>
              <w:spacing w:line="360" w:lineRule="auto"/>
              <w:jc w:val="center"/>
              <w:rPr>
                <w:rFonts w:ascii="Times New Roman" w:hAnsi="Times New Roman" w:cs="Times New Roman"/>
                <w:b/>
                <w:sz w:val="21"/>
                <w:szCs w:val="21"/>
              </w:rPr>
            </w:pPr>
            <w:r>
              <w:rPr>
                <w:rFonts w:hint="eastAsia" w:ascii="Times New Roman" w:hAnsi="Times New Roman" w:cs="Times New Roman"/>
                <w:b/>
                <w:sz w:val="21"/>
                <w:szCs w:val="21"/>
              </w:rPr>
              <w:t>备注</w:t>
            </w:r>
          </w:p>
        </w:tc>
        <w:tc>
          <w:tcPr>
            <w:tcW w:w="6713" w:type="dxa"/>
            <w:vAlign w:val="center"/>
          </w:tcPr>
          <w:p w14:paraId="2CDD9491">
            <w:pPr>
              <w:spacing w:line="360" w:lineRule="auto"/>
              <w:jc w:val="center"/>
              <w:rPr>
                <w:rFonts w:ascii="Times New Roman" w:hAnsi="Times New Roman" w:cs="Times New Roman"/>
                <w:sz w:val="21"/>
                <w:szCs w:val="21"/>
              </w:rPr>
            </w:pPr>
          </w:p>
        </w:tc>
      </w:tr>
    </w:tbl>
    <w:p w14:paraId="31778305">
      <w:pPr>
        <w:spacing w:before="163" w:beforeLines="50" w:after="163" w:afterLines="50"/>
        <w:rPr>
          <w:rFonts w:hint="eastAsia"/>
          <w:b/>
          <w:bCs/>
          <w:szCs w:val="21"/>
        </w:rPr>
      </w:pPr>
    </w:p>
    <w:p w14:paraId="1C9B110C">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653B9642">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357E453B">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297EC704">
      <w:pPr>
        <w:ind w:firstLine="420" w:firstLineChars="200"/>
        <w:rPr>
          <w:rFonts w:ascii="Times New Roman" w:hAnsi="Times New Roman" w:cs="Times New Roman"/>
          <w:sz w:val="21"/>
          <w:szCs w:val="21"/>
        </w:rPr>
      </w:pPr>
    </w:p>
    <w:p w14:paraId="6E4A5B64">
      <w:pPr>
        <w:ind w:firstLine="420" w:firstLineChars="200"/>
        <w:rPr>
          <w:rFonts w:ascii="Times New Roman" w:hAnsi="Times New Roman" w:cs="Times New Roman"/>
          <w:sz w:val="21"/>
          <w:szCs w:val="21"/>
        </w:rPr>
      </w:pPr>
    </w:p>
    <w:p w14:paraId="2494C6E6">
      <w:pPr>
        <w:ind w:firstLine="420" w:firstLineChars="200"/>
        <w:rPr>
          <w:rFonts w:ascii="Times New Roman" w:hAnsi="Times New Roman" w:cs="Times New Roman"/>
          <w:sz w:val="21"/>
          <w:szCs w:val="21"/>
        </w:rPr>
        <w:sectPr>
          <w:pgSz w:w="11906" w:h="16838"/>
          <w:pgMar w:top="1440" w:right="1800" w:bottom="1440" w:left="1800" w:header="851" w:footer="992" w:gutter="0"/>
          <w:cols w:space="720" w:num="1"/>
          <w:docGrid w:type="lines" w:linePitch="326" w:charSpace="0"/>
        </w:sectPr>
      </w:pPr>
    </w:p>
    <w:p w14:paraId="0444ECF6">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15" w:name="_Toc153881167"/>
      <w:bookmarkStart w:id="1916" w:name="_Toc10615"/>
      <w:r>
        <w:rPr>
          <w:rFonts w:ascii="Times New Roman" w:hAnsi="Times New Roman" w:cs="Times New Roman"/>
          <w:b/>
        </w:rPr>
        <w:t>投标报价明细表</w:t>
      </w:r>
      <w:bookmarkEnd w:id="1915"/>
      <w:bookmarkEnd w:id="1916"/>
    </w:p>
    <w:p w14:paraId="7CD36B99">
      <w:pPr>
        <w:spacing w:line="360" w:lineRule="auto"/>
        <w:rPr>
          <w:rFonts w:ascii="Times New Roman" w:hAnsi="Times New Roman" w:cs="Times New Roman"/>
          <w:sz w:val="21"/>
          <w:szCs w:val="21"/>
        </w:rPr>
      </w:pPr>
      <w:r>
        <w:rPr>
          <w:rFonts w:ascii="Times New Roman" w:hAnsi="Times New Roman" w:cs="Times New Roman"/>
          <w:sz w:val="21"/>
          <w:szCs w:val="21"/>
        </w:rPr>
        <w:t>项目名称：                                          项目编号：</w:t>
      </w:r>
    </w:p>
    <w:tbl>
      <w:tblPr>
        <w:tblStyle w:val="31"/>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584"/>
        <w:gridCol w:w="669"/>
        <w:gridCol w:w="783"/>
        <w:gridCol w:w="995"/>
        <w:gridCol w:w="515"/>
        <w:gridCol w:w="924"/>
        <w:gridCol w:w="775"/>
        <w:gridCol w:w="583"/>
        <w:gridCol w:w="1046"/>
      </w:tblGrid>
      <w:tr w14:paraId="5EB6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14" w:type="pct"/>
            <w:vAlign w:val="center"/>
          </w:tcPr>
          <w:p w14:paraId="2D3F1D17">
            <w:pPr>
              <w:adjustRightInd w:val="0"/>
              <w:snapToGrid w:val="0"/>
              <w:jc w:val="center"/>
              <w:rPr>
                <w:rFonts w:hint="eastAsia"/>
                <w:b/>
                <w:color w:val="000000"/>
                <w:sz w:val="21"/>
                <w:szCs w:val="21"/>
              </w:rPr>
            </w:pPr>
            <w:r>
              <w:rPr>
                <w:b/>
                <w:color w:val="000000"/>
                <w:sz w:val="21"/>
                <w:szCs w:val="21"/>
              </w:rPr>
              <w:t>序号</w:t>
            </w:r>
          </w:p>
        </w:tc>
        <w:tc>
          <w:tcPr>
            <w:tcW w:w="922" w:type="pct"/>
            <w:vAlign w:val="center"/>
          </w:tcPr>
          <w:p w14:paraId="068583E1">
            <w:pPr>
              <w:adjustRightInd w:val="0"/>
              <w:snapToGrid w:val="0"/>
              <w:jc w:val="center"/>
              <w:rPr>
                <w:rFonts w:hint="eastAsia"/>
                <w:b/>
                <w:color w:val="000000"/>
                <w:sz w:val="21"/>
                <w:szCs w:val="21"/>
              </w:rPr>
            </w:pPr>
            <w:r>
              <w:rPr>
                <w:b/>
                <w:color w:val="000000"/>
                <w:sz w:val="21"/>
                <w:szCs w:val="21"/>
              </w:rPr>
              <w:t>分项名称</w:t>
            </w:r>
          </w:p>
        </w:tc>
        <w:tc>
          <w:tcPr>
            <w:tcW w:w="389" w:type="pct"/>
            <w:vAlign w:val="center"/>
          </w:tcPr>
          <w:p w14:paraId="15082318">
            <w:pPr>
              <w:adjustRightInd w:val="0"/>
              <w:snapToGrid w:val="0"/>
              <w:jc w:val="center"/>
              <w:rPr>
                <w:rFonts w:hint="eastAsia"/>
                <w:b/>
                <w:color w:val="000000"/>
                <w:sz w:val="21"/>
                <w:szCs w:val="21"/>
              </w:rPr>
            </w:pPr>
            <w:r>
              <w:rPr>
                <w:b/>
                <w:color w:val="000000"/>
                <w:sz w:val="21"/>
                <w:szCs w:val="21"/>
              </w:rPr>
              <w:t>制造商</w:t>
            </w:r>
          </w:p>
        </w:tc>
        <w:tc>
          <w:tcPr>
            <w:tcW w:w="456" w:type="pct"/>
            <w:vAlign w:val="center"/>
          </w:tcPr>
          <w:p w14:paraId="0237351D">
            <w:pPr>
              <w:adjustRightInd w:val="0"/>
              <w:snapToGrid w:val="0"/>
              <w:jc w:val="center"/>
              <w:rPr>
                <w:rFonts w:hint="eastAsia"/>
                <w:b/>
                <w:color w:val="000000"/>
                <w:sz w:val="21"/>
                <w:szCs w:val="21"/>
              </w:rPr>
            </w:pPr>
            <w:r>
              <w:rPr>
                <w:b/>
                <w:color w:val="000000"/>
                <w:sz w:val="21"/>
                <w:szCs w:val="21"/>
              </w:rPr>
              <w:t>产地/国别</w:t>
            </w:r>
          </w:p>
        </w:tc>
        <w:tc>
          <w:tcPr>
            <w:tcW w:w="580" w:type="pct"/>
            <w:vAlign w:val="center"/>
          </w:tcPr>
          <w:p w14:paraId="17A0799F">
            <w:pPr>
              <w:jc w:val="center"/>
              <w:rPr>
                <w:rFonts w:hint="eastAsia"/>
                <w:b/>
                <w:color w:val="000000"/>
                <w:sz w:val="21"/>
                <w:szCs w:val="21"/>
              </w:rPr>
            </w:pPr>
            <w:r>
              <w:rPr>
                <w:b/>
                <w:color w:val="000000"/>
                <w:sz w:val="21"/>
                <w:szCs w:val="21"/>
              </w:rPr>
              <w:t>制造商</w:t>
            </w:r>
          </w:p>
          <w:p w14:paraId="2B3E49B7">
            <w:pPr>
              <w:adjustRightInd w:val="0"/>
              <w:snapToGrid w:val="0"/>
              <w:jc w:val="center"/>
              <w:rPr>
                <w:rFonts w:hint="eastAsia"/>
                <w:b/>
                <w:color w:val="000000"/>
                <w:sz w:val="21"/>
                <w:szCs w:val="21"/>
              </w:rPr>
            </w:pPr>
            <w:r>
              <w:rPr>
                <w:b/>
                <w:color w:val="000000"/>
                <w:sz w:val="21"/>
                <w:szCs w:val="21"/>
              </w:rPr>
              <w:t>统一</w:t>
            </w:r>
            <w:r>
              <w:rPr>
                <w:rFonts w:hint="eastAsia"/>
                <w:b/>
                <w:color w:val="000000"/>
                <w:sz w:val="21"/>
                <w:szCs w:val="21"/>
              </w:rPr>
              <w:t>社会</w:t>
            </w:r>
            <w:r>
              <w:rPr>
                <w:b/>
                <w:color w:val="000000"/>
                <w:sz w:val="21"/>
                <w:szCs w:val="21"/>
              </w:rPr>
              <w:t>信用代码</w:t>
            </w:r>
          </w:p>
        </w:tc>
        <w:tc>
          <w:tcPr>
            <w:tcW w:w="300" w:type="pct"/>
            <w:vAlign w:val="center"/>
          </w:tcPr>
          <w:p w14:paraId="58B540B5">
            <w:pPr>
              <w:adjustRightInd w:val="0"/>
              <w:snapToGrid w:val="0"/>
              <w:jc w:val="center"/>
              <w:rPr>
                <w:rFonts w:hint="eastAsia"/>
                <w:b/>
                <w:color w:val="000000"/>
                <w:sz w:val="21"/>
                <w:szCs w:val="21"/>
              </w:rPr>
            </w:pPr>
            <w:r>
              <w:rPr>
                <w:b/>
                <w:color w:val="000000"/>
                <w:sz w:val="21"/>
                <w:szCs w:val="21"/>
              </w:rPr>
              <w:t>品牌</w:t>
            </w:r>
          </w:p>
        </w:tc>
        <w:tc>
          <w:tcPr>
            <w:tcW w:w="538" w:type="pct"/>
            <w:vAlign w:val="center"/>
          </w:tcPr>
          <w:p w14:paraId="41E2B34A">
            <w:pPr>
              <w:adjustRightInd w:val="0"/>
              <w:snapToGrid w:val="0"/>
              <w:jc w:val="center"/>
              <w:rPr>
                <w:rFonts w:hint="eastAsia"/>
                <w:b/>
                <w:color w:val="000000"/>
                <w:sz w:val="21"/>
                <w:szCs w:val="21"/>
              </w:rPr>
            </w:pPr>
            <w:r>
              <w:rPr>
                <w:b/>
                <w:color w:val="000000"/>
                <w:sz w:val="21"/>
                <w:szCs w:val="21"/>
              </w:rPr>
              <w:t>规格、型号</w:t>
            </w:r>
          </w:p>
        </w:tc>
        <w:tc>
          <w:tcPr>
            <w:tcW w:w="451" w:type="pct"/>
            <w:vAlign w:val="center"/>
          </w:tcPr>
          <w:p w14:paraId="0B7E8B31">
            <w:pPr>
              <w:adjustRightInd w:val="0"/>
              <w:snapToGrid w:val="0"/>
              <w:jc w:val="center"/>
              <w:rPr>
                <w:rFonts w:hint="eastAsia"/>
                <w:b/>
                <w:color w:val="000000"/>
                <w:sz w:val="21"/>
                <w:szCs w:val="21"/>
              </w:rPr>
            </w:pPr>
            <w:r>
              <w:rPr>
                <w:b/>
                <w:color w:val="000000"/>
                <w:sz w:val="21"/>
                <w:szCs w:val="21"/>
              </w:rPr>
              <w:t>单价</w:t>
            </w:r>
          </w:p>
          <w:p w14:paraId="323028B0">
            <w:pPr>
              <w:adjustRightInd w:val="0"/>
              <w:snapToGrid w:val="0"/>
              <w:jc w:val="center"/>
              <w:rPr>
                <w:rFonts w:hint="eastAsia"/>
                <w:b/>
                <w:color w:val="000000"/>
                <w:sz w:val="21"/>
                <w:szCs w:val="21"/>
              </w:rPr>
            </w:pPr>
            <w:r>
              <w:rPr>
                <w:b/>
                <w:color w:val="000000"/>
                <w:sz w:val="21"/>
                <w:szCs w:val="21"/>
              </w:rPr>
              <w:t>（元）</w:t>
            </w:r>
          </w:p>
        </w:tc>
        <w:tc>
          <w:tcPr>
            <w:tcW w:w="336" w:type="pct"/>
            <w:vAlign w:val="center"/>
          </w:tcPr>
          <w:p w14:paraId="2A305DD8">
            <w:pPr>
              <w:adjustRightInd w:val="0"/>
              <w:snapToGrid w:val="0"/>
              <w:jc w:val="center"/>
              <w:rPr>
                <w:rFonts w:hint="eastAsia"/>
                <w:b/>
                <w:color w:val="000000"/>
                <w:sz w:val="21"/>
                <w:szCs w:val="21"/>
              </w:rPr>
            </w:pPr>
            <w:r>
              <w:rPr>
                <w:b/>
                <w:color w:val="000000"/>
                <w:sz w:val="21"/>
                <w:szCs w:val="21"/>
              </w:rPr>
              <w:t>数量</w:t>
            </w:r>
          </w:p>
        </w:tc>
        <w:tc>
          <w:tcPr>
            <w:tcW w:w="609" w:type="pct"/>
            <w:vAlign w:val="center"/>
          </w:tcPr>
          <w:p w14:paraId="5363CE68">
            <w:pPr>
              <w:adjustRightInd w:val="0"/>
              <w:snapToGrid w:val="0"/>
              <w:jc w:val="center"/>
              <w:rPr>
                <w:rFonts w:hint="eastAsia"/>
                <w:b/>
                <w:color w:val="000000"/>
                <w:sz w:val="21"/>
                <w:szCs w:val="21"/>
              </w:rPr>
            </w:pPr>
            <w:r>
              <w:rPr>
                <w:b/>
                <w:color w:val="000000"/>
                <w:sz w:val="21"/>
                <w:szCs w:val="21"/>
              </w:rPr>
              <w:t>合价（元）</w:t>
            </w:r>
          </w:p>
        </w:tc>
      </w:tr>
      <w:tr w14:paraId="6293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10609E3A">
            <w:pPr>
              <w:adjustRightInd w:val="0"/>
              <w:snapToGrid w:val="0"/>
              <w:rPr>
                <w:rFonts w:hint="eastAsia"/>
                <w:color w:val="000000"/>
              </w:rPr>
            </w:pPr>
            <w:r>
              <w:rPr>
                <w:color w:val="000000"/>
              </w:rPr>
              <w:t>1</w:t>
            </w:r>
          </w:p>
        </w:tc>
        <w:tc>
          <w:tcPr>
            <w:tcW w:w="922" w:type="pct"/>
            <w:vAlign w:val="center"/>
          </w:tcPr>
          <w:p w14:paraId="4013706A">
            <w:pPr>
              <w:adjustRightInd w:val="0"/>
              <w:snapToGrid w:val="0"/>
              <w:rPr>
                <w:rFonts w:hint="eastAsia"/>
                <w:color w:val="000000"/>
              </w:rPr>
            </w:pPr>
          </w:p>
        </w:tc>
        <w:tc>
          <w:tcPr>
            <w:tcW w:w="389" w:type="pct"/>
            <w:vAlign w:val="center"/>
          </w:tcPr>
          <w:p w14:paraId="55054129">
            <w:pPr>
              <w:adjustRightInd w:val="0"/>
              <w:snapToGrid w:val="0"/>
              <w:rPr>
                <w:rFonts w:hint="eastAsia"/>
                <w:color w:val="000000"/>
              </w:rPr>
            </w:pPr>
          </w:p>
        </w:tc>
        <w:tc>
          <w:tcPr>
            <w:tcW w:w="456" w:type="pct"/>
          </w:tcPr>
          <w:p w14:paraId="3963E4F2">
            <w:pPr>
              <w:adjustRightInd w:val="0"/>
              <w:snapToGrid w:val="0"/>
              <w:rPr>
                <w:rFonts w:hint="eastAsia"/>
                <w:color w:val="000000"/>
              </w:rPr>
            </w:pPr>
          </w:p>
        </w:tc>
        <w:tc>
          <w:tcPr>
            <w:tcW w:w="580" w:type="pct"/>
            <w:vAlign w:val="center"/>
          </w:tcPr>
          <w:p w14:paraId="51B53CFE">
            <w:pPr>
              <w:adjustRightInd w:val="0"/>
              <w:snapToGrid w:val="0"/>
              <w:jc w:val="center"/>
              <w:rPr>
                <w:rFonts w:hint="eastAsia"/>
                <w:color w:val="000000"/>
              </w:rPr>
            </w:pPr>
          </w:p>
        </w:tc>
        <w:tc>
          <w:tcPr>
            <w:tcW w:w="300" w:type="pct"/>
            <w:vAlign w:val="center"/>
          </w:tcPr>
          <w:p w14:paraId="0B4B9FCB">
            <w:pPr>
              <w:adjustRightInd w:val="0"/>
              <w:snapToGrid w:val="0"/>
              <w:jc w:val="center"/>
              <w:rPr>
                <w:rFonts w:hint="eastAsia"/>
                <w:color w:val="000000"/>
              </w:rPr>
            </w:pPr>
          </w:p>
        </w:tc>
        <w:tc>
          <w:tcPr>
            <w:tcW w:w="538" w:type="pct"/>
            <w:vAlign w:val="center"/>
          </w:tcPr>
          <w:p w14:paraId="20858ADF">
            <w:pPr>
              <w:adjustRightInd w:val="0"/>
              <w:snapToGrid w:val="0"/>
              <w:rPr>
                <w:rFonts w:hint="eastAsia"/>
                <w:color w:val="000000"/>
              </w:rPr>
            </w:pPr>
          </w:p>
        </w:tc>
        <w:tc>
          <w:tcPr>
            <w:tcW w:w="451" w:type="pct"/>
            <w:vAlign w:val="center"/>
          </w:tcPr>
          <w:p w14:paraId="5A635F9E">
            <w:pPr>
              <w:adjustRightInd w:val="0"/>
              <w:snapToGrid w:val="0"/>
              <w:rPr>
                <w:rFonts w:hint="eastAsia"/>
                <w:color w:val="000000"/>
              </w:rPr>
            </w:pPr>
          </w:p>
        </w:tc>
        <w:tc>
          <w:tcPr>
            <w:tcW w:w="336" w:type="pct"/>
            <w:vAlign w:val="center"/>
          </w:tcPr>
          <w:p w14:paraId="7B0DD8F4">
            <w:pPr>
              <w:adjustRightInd w:val="0"/>
              <w:snapToGrid w:val="0"/>
              <w:rPr>
                <w:rFonts w:hint="eastAsia"/>
                <w:color w:val="000000"/>
              </w:rPr>
            </w:pPr>
          </w:p>
        </w:tc>
        <w:tc>
          <w:tcPr>
            <w:tcW w:w="609" w:type="pct"/>
            <w:vAlign w:val="center"/>
          </w:tcPr>
          <w:p w14:paraId="020C8FB0">
            <w:pPr>
              <w:adjustRightInd w:val="0"/>
              <w:snapToGrid w:val="0"/>
              <w:rPr>
                <w:rFonts w:hint="eastAsia"/>
                <w:color w:val="000000"/>
              </w:rPr>
            </w:pPr>
          </w:p>
        </w:tc>
      </w:tr>
      <w:tr w14:paraId="4F89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02025BC2">
            <w:pPr>
              <w:adjustRightInd w:val="0"/>
              <w:snapToGrid w:val="0"/>
              <w:rPr>
                <w:rFonts w:hint="eastAsia"/>
                <w:color w:val="000000"/>
              </w:rPr>
            </w:pPr>
            <w:r>
              <w:rPr>
                <w:color w:val="000000"/>
              </w:rPr>
              <w:t>2</w:t>
            </w:r>
          </w:p>
        </w:tc>
        <w:tc>
          <w:tcPr>
            <w:tcW w:w="922" w:type="pct"/>
            <w:vAlign w:val="center"/>
          </w:tcPr>
          <w:p w14:paraId="30AF5F11">
            <w:pPr>
              <w:adjustRightInd w:val="0"/>
              <w:snapToGrid w:val="0"/>
              <w:rPr>
                <w:rFonts w:hint="eastAsia"/>
                <w:color w:val="000000"/>
              </w:rPr>
            </w:pPr>
          </w:p>
        </w:tc>
        <w:tc>
          <w:tcPr>
            <w:tcW w:w="389" w:type="pct"/>
            <w:vAlign w:val="center"/>
          </w:tcPr>
          <w:p w14:paraId="222BC420">
            <w:pPr>
              <w:adjustRightInd w:val="0"/>
              <w:snapToGrid w:val="0"/>
              <w:rPr>
                <w:rFonts w:hint="eastAsia"/>
                <w:color w:val="000000"/>
              </w:rPr>
            </w:pPr>
          </w:p>
        </w:tc>
        <w:tc>
          <w:tcPr>
            <w:tcW w:w="456" w:type="pct"/>
          </w:tcPr>
          <w:p w14:paraId="25DCEDF5">
            <w:pPr>
              <w:adjustRightInd w:val="0"/>
              <w:snapToGrid w:val="0"/>
              <w:rPr>
                <w:rFonts w:hint="eastAsia"/>
                <w:color w:val="000000"/>
              </w:rPr>
            </w:pPr>
          </w:p>
        </w:tc>
        <w:tc>
          <w:tcPr>
            <w:tcW w:w="580" w:type="pct"/>
            <w:vAlign w:val="center"/>
          </w:tcPr>
          <w:p w14:paraId="0852320B">
            <w:pPr>
              <w:adjustRightInd w:val="0"/>
              <w:snapToGrid w:val="0"/>
              <w:jc w:val="center"/>
              <w:rPr>
                <w:rFonts w:hint="eastAsia"/>
                <w:color w:val="000000"/>
              </w:rPr>
            </w:pPr>
          </w:p>
        </w:tc>
        <w:tc>
          <w:tcPr>
            <w:tcW w:w="300" w:type="pct"/>
            <w:vAlign w:val="center"/>
          </w:tcPr>
          <w:p w14:paraId="06369B69">
            <w:pPr>
              <w:adjustRightInd w:val="0"/>
              <w:snapToGrid w:val="0"/>
              <w:jc w:val="center"/>
              <w:rPr>
                <w:rFonts w:hint="eastAsia"/>
                <w:color w:val="000000"/>
              </w:rPr>
            </w:pPr>
          </w:p>
        </w:tc>
        <w:tc>
          <w:tcPr>
            <w:tcW w:w="538" w:type="pct"/>
            <w:vAlign w:val="center"/>
          </w:tcPr>
          <w:p w14:paraId="6DAAB64C">
            <w:pPr>
              <w:adjustRightInd w:val="0"/>
              <w:snapToGrid w:val="0"/>
              <w:rPr>
                <w:rFonts w:hint="eastAsia"/>
                <w:color w:val="000000"/>
              </w:rPr>
            </w:pPr>
          </w:p>
        </w:tc>
        <w:tc>
          <w:tcPr>
            <w:tcW w:w="451" w:type="pct"/>
            <w:vAlign w:val="center"/>
          </w:tcPr>
          <w:p w14:paraId="607F54F5">
            <w:pPr>
              <w:adjustRightInd w:val="0"/>
              <w:snapToGrid w:val="0"/>
              <w:rPr>
                <w:rFonts w:hint="eastAsia"/>
                <w:color w:val="000000"/>
              </w:rPr>
            </w:pPr>
          </w:p>
        </w:tc>
        <w:tc>
          <w:tcPr>
            <w:tcW w:w="336" w:type="pct"/>
            <w:vAlign w:val="center"/>
          </w:tcPr>
          <w:p w14:paraId="38BE09FE">
            <w:pPr>
              <w:adjustRightInd w:val="0"/>
              <w:snapToGrid w:val="0"/>
              <w:rPr>
                <w:rFonts w:hint="eastAsia"/>
                <w:color w:val="000000"/>
              </w:rPr>
            </w:pPr>
          </w:p>
        </w:tc>
        <w:tc>
          <w:tcPr>
            <w:tcW w:w="609" w:type="pct"/>
            <w:vAlign w:val="center"/>
          </w:tcPr>
          <w:p w14:paraId="57C7DFEE">
            <w:pPr>
              <w:adjustRightInd w:val="0"/>
              <w:snapToGrid w:val="0"/>
              <w:rPr>
                <w:rFonts w:hint="eastAsia"/>
                <w:color w:val="000000"/>
              </w:rPr>
            </w:pPr>
          </w:p>
        </w:tc>
      </w:tr>
      <w:tr w14:paraId="48D6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5ED7FF7D">
            <w:pPr>
              <w:adjustRightInd w:val="0"/>
              <w:snapToGrid w:val="0"/>
              <w:rPr>
                <w:rFonts w:hint="eastAsia"/>
                <w:color w:val="000000"/>
              </w:rPr>
            </w:pPr>
            <w:r>
              <w:rPr>
                <w:color w:val="000000"/>
              </w:rPr>
              <w:t>3</w:t>
            </w:r>
          </w:p>
        </w:tc>
        <w:tc>
          <w:tcPr>
            <w:tcW w:w="922" w:type="pct"/>
            <w:vAlign w:val="center"/>
          </w:tcPr>
          <w:p w14:paraId="10623435">
            <w:pPr>
              <w:adjustRightInd w:val="0"/>
              <w:snapToGrid w:val="0"/>
              <w:rPr>
                <w:rFonts w:hint="eastAsia"/>
                <w:color w:val="000000"/>
              </w:rPr>
            </w:pPr>
          </w:p>
        </w:tc>
        <w:tc>
          <w:tcPr>
            <w:tcW w:w="389" w:type="pct"/>
            <w:vAlign w:val="center"/>
          </w:tcPr>
          <w:p w14:paraId="6DCA7AFC">
            <w:pPr>
              <w:adjustRightInd w:val="0"/>
              <w:snapToGrid w:val="0"/>
              <w:rPr>
                <w:rFonts w:hint="eastAsia"/>
                <w:color w:val="000000"/>
              </w:rPr>
            </w:pPr>
          </w:p>
        </w:tc>
        <w:tc>
          <w:tcPr>
            <w:tcW w:w="456" w:type="pct"/>
          </w:tcPr>
          <w:p w14:paraId="15B2ADC9">
            <w:pPr>
              <w:adjustRightInd w:val="0"/>
              <w:snapToGrid w:val="0"/>
              <w:rPr>
                <w:rFonts w:hint="eastAsia"/>
                <w:color w:val="000000"/>
              </w:rPr>
            </w:pPr>
          </w:p>
        </w:tc>
        <w:tc>
          <w:tcPr>
            <w:tcW w:w="580" w:type="pct"/>
            <w:vAlign w:val="center"/>
          </w:tcPr>
          <w:p w14:paraId="630734C8">
            <w:pPr>
              <w:adjustRightInd w:val="0"/>
              <w:snapToGrid w:val="0"/>
              <w:jc w:val="center"/>
              <w:rPr>
                <w:rFonts w:hint="eastAsia"/>
                <w:color w:val="000000"/>
              </w:rPr>
            </w:pPr>
          </w:p>
        </w:tc>
        <w:tc>
          <w:tcPr>
            <w:tcW w:w="300" w:type="pct"/>
            <w:vAlign w:val="center"/>
          </w:tcPr>
          <w:p w14:paraId="68902DEE">
            <w:pPr>
              <w:adjustRightInd w:val="0"/>
              <w:snapToGrid w:val="0"/>
              <w:jc w:val="center"/>
              <w:rPr>
                <w:rFonts w:hint="eastAsia"/>
                <w:color w:val="000000"/>
              </w:rPr>
            </w:pPr>
          </w:p>
        </w:tc>
        <w:tc>
          <w:tcPr>
            <w:tcW w:w="538" w:type="pct"/>
            <w:vAlign w:val="center"/>
          </w:tcPr>
          <w:p w14:paraId="3AC2BA31">
            <w:pPr>
              <w:adjustRightInd w:val="0"/>
              <w:snapToGrid w:val="0"/>
              <w:rPr>
                <w:rFonts w:hint="eastAsia"/>
                <w:color w:val="000000"/>
              </w:rPr>
            </w:pPr>
          </w:p>
        </w:tc>
        <w:tc>
          <w:tcPr>
            <w:tcW w:w="451" w:type="pct"/>
            <w:vAlign w:val="center"/>
          </w:tcPr>
          <w:p w14:paraId="4F3E713A">
            <w:pPr>
              <w:adjustRightInd w:val="0"/>
              <w:snapToGrid w:val="0"/>
              <w:rPr>
                <w:rFonts w:hint="eastAsia"/>
                <w:color w:val="000000"/>
              </w:rPr>
            </w:pPr>
          </w:p>
        </w:tc>
        <w:tc>
          <w:tcPr>
            <w:tcW w:w="336" w:type="pct"/>
            <w:vAlign w:val="center"/>
          </w:tcPr>
          <w:p w14:paraId="61C448F9">
            <w:pPr>
              <w:adjustRightInd w:val="0"/>
              <w:snapToGrid w:val="0"/>
              <w:rPr>
                <w:rFonts w:hint="eastAsia"/>
                <w:color w:val="000000"/>
              </w:rPr>
            </w:pPr>
          </w:p>
        </w:tc>
        <w:tc>
          <w:tcPr>
            <w:tcW w:w="609" w:type="pct"/>
            <w:vAlign w:val="center"/>
          </w:tcPr>
          <w:p w14:paraId="1C08AD6A">
            <w:pPr>
              <w:adjustRightInd w:val="0"/>
              <w:snapToGrid w:val="0"/>
              <w:rPr>
                <w:rFonts w:hint="eastAsia"/>
                <w:color w:val="000000"/>
              </w:rPr>
            </w:pPr>
          </w:p>
        </w:tc>
      </w:tr>
      <w:tr w14:paraId="7EDE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4A643B92">
            <w:pPr>
              <w:adjustRightInd w:val="0"/>
              <w:snapToGrid w:val="0"/>
              <w:rPr>
                <w:rFonts w:hint="eastAsia"/>
                <w:color w:val="000000"/>
              </w:rPr>
            </w:pPr>
            <w:r>
              <w:rPr>
                <w:color w:val="000000"/>
              </w:rPr>
              <w:t>4</w:t>
            </w:r>
          </w:p>
        </w:tc>
        <w:tc>
          <w:tcPr>
            <w:tcW w:w="922" w:type="pct"/>
            <w:vAlign w:val="center"/>
          </w:tcPr>
          <w:p w14:paraId="6CAF27AB">
            <w:pPr>
              <w:adjustRightInd w:val="0"/>
              <w:snapToGrid w:val="0"/>
              <w:rPr>
                <w:rFonts w:hint="eastAsia"/>
                <w:color w:val="000000"/>
              </w:rPr>
            </w:pPr>
          </w:p>
        </w:tc>
        <w:tc>
          <w:tcPr>
            <w:tcW w:w="389" w:type="pct"/>
            <w:vAlign w:val="center"/>
          </w:tcPr>
          <w:p w14:paraId="4F89985F">
            <w:pPr>
              <w:adjustRightInd w:val="0"/>
              <w:snapToGrid w:val="0"/>
              <w:rPr>
                <w:rFonts w:hint="eastAsia"/>
                <w:color w:val="000000"/>
              </w:rPr>
            </w:pPr>
          </w:p>
        </w:tc>
        <w:tc>
          <w:tcPr>
            <w:tcW w:w="456" w:type="pct"/>
          </w:tcPr>
          <w:p w14:paraId="54FF9BE4">
            <w:pPr>
              <w:adjustRightInd w:val="0"/>
              <w:snapToGrid w:val="0"/>
              <w:rPr>
                <w:rFonts w:hint="eastAsia"/>
                <w:color w:val="000000"/>
              </w:rPr>
            </w:pPr>
          </w:p>
        </w:tc>
        <w:tc>
          <w:tcPr>
            <w:tcW w:w="580" w:type="pct"/>
            <w:vAlign w:val="center"/>
          </w:tcPr>
          <w:p w14:paraId="6357A68A">
            <w:pPr>
              <w:adjustRightInd w:val="0"/>
              <w:snapToGrid w:val="0"/>
              <w:jc w:val="center"/>
              <w:rPr>
                <w:rFonts w:hint="eastAsia"/>
                <w:color w:val="000000"/>
              </w:rPr>
            </w:pPr>
          </w:p>
        </w:tc>
        <w:tc>
          <w:tcPr>
            <w:tcW w:w="300" w:type="pct"/>
            <w:vAlign w:val="center"/>
          </w:tcPr>
          <w:p w14:paraId="741347EA">
            <w:pPr>
              <w:adjustRightInd w:val="0"/>
              <w:snapToGrid w:val="0"/>
              <w:jc w:val="center"/>
              <w:rPr>
                <w:rFonts w:hint="eastAsia"/>
                <w:color w:val="000000"/>
              </w:rPr>
            </w:pPr>
          </w:p>
        </w:tc>
        <w:tc>
          <w:tcPr>
            <w:tcW w:w="538" w:type="pct"/>
            <w:vAlign w:val="center"/>
          </w:tcPr>
          <w:p w14:paraId="688B7A2B">
            <w:pPr>
              <w:adjustRightInd w:val="0"/>
              <w:snapToGrid w:val="0"/>
              <w:rPr>
                <w:rFonts w:hint="eastAsia"/>
                <w:color w:val="000000"/>
              </w:rPr>
            </w:pPr>
          </w:p>
        </w:tc>
        <w:tc>
          <w:tcPr>
            <w:tcW w:w="451" w:type="pct"/>
            <w:vAlign w:val="center"/>
          </w:tcPr>
          <w:p w14:paraId="23CA0055">
            <w:pPr>
              <w:adjustRightInd w:val="0"/>
              <w:snapToGrid w:val="0"/>
              <w:rPr>
                <w:rFonts w:hint="eastAsia"/>
                <w:color w:val="000000"/>
              </w:rPr>
            </w:pPr>
          </w:p>
        </w:tc>
        <w:tc>
          <w:tcPr>
            <w:tcW w:w="336" w:type="pct"/>
            <w:vAlign w:val="center"/>
          </w:tcPr>
          <w:p w14:paraId="56DB6ADE">
            <w:pPr>
              <w:adjustRightInd w:val="0"/>
              <w:snapToGrid w:val="0"/>
              <w:rPr>
                <w:rFonts w:hint="eastAsia"/>
                <w:color w:val="000000"/>
              </w:rPr>
            </w:pPr>
          </w:p>
        </w:tc>
        <w:tc>
          <w:tcPr>
            <w:tcW w:w="609" w:type="pct"/>
            <w:vAlign w:val="center"/>
          </w:tcPr>
          <w:p w14:paraId="19EF7820">
            <w:pPr>
              <w:adjustRightInd w:val="0"/>
              <w:snapToGrid w:val="0"/>
              <w:rPr>
                <w:rFonts w:hint="eastAsia"/>
                <w:color w:val="000000"/>
              </w:rPr>
            </w:pPr>
          </w:p>
        </w:tc>
      </w:tr>
      <w:tr w14:paraId="17D6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14:paraId="54194B33">
            <w:pPr>
              <w:adjustRightInd w:val="0"/>
              <w:snapToGrid w:val="0"/>
              <w:rPr>
                <w:rFonts w:hint="eastAsia"/>
                <w:color w:val="000000"/>
              </w:rPr>
            </w:pPr>
            <w:r>
              <w:rPr>
                <w:color w:val="000000"/>
              </w:rPr>
              <w:t>…</w:t>
            </w:r>
          </w:p>
        </w:tc>
        <w:tc>
          <w:tcPr>
            <w:tcW w:w="922" w:type="pct"/>
            <w:vAlign w:val="center"/>
          </w:tcPr>
          <w:p w14:paraId="34B0D280">
            <w:pPr>
              <w:adjustRightInd w:val="0"/>
              <w:snapToGrid w:val="0"/>
              <w:rPr>
                <w:rFonts w:hint="eastAsia"/>
                <w:color w:val="000000"/>
              </w:rPr>
            </w:pPr>
          </w:p>
        </w:tc>
        <w:tc>
          <w:tcPr>
            <w:tcW w:w="389" w:type="pct"/>
            <w:vAlign w:val="center"/>
          </w:tcPr>
          <w:p w14:paraId="6B45C58A">
            <w:pPr>
              <w:adjustRightInd w:val="0"/>
              <w:snapToGrid w:val="0"/>
              <w:rPr>
                <w:rFonts w:hint="eastAsia"/>
                <w:color w:val="000000"/>
              </w:rPr>
            </w:pPr>
          </w:p>
        </w:tc>
        <w:tc>
          <w:tcPr>
            <w:tcW w:w="456" w:type="pct"/>
          </w:tcPr>
          <w:p w14:paraId="047B78C7">
            <w:pPr>
              <w:adjustRightInd w:val="0"/>
              <w:snapToGrid w:val="0"/>
              <w:rPr>
                <w:rFonts w:hint="eastAsia"/>
                <w:color w:val="000000"/>
              </w:rPr>
            </w:pPr>
          </w:p>
        </w:tc>
        <w:tc>
          <w:tcPr>
            <w:tcW w:w="580" w:type="pct"/>
            <w:vAlign w:val="center"/>
          </w:tcPr>
          <w:p w14:paraId="5006B88C">
            <w:pPr>
              <w:adjustRightInd w:val="0"/>
              <w:snapToGrid w:val="0"/>
              <w:jc w:val="center"/>
              <w:rPr>
                <w:rFonts w:hint="eastAsia"/>
                <w:color w:val="000000"/>
              </w:rPr>
            </w:pPr>
          </w:p>
        </w:tc>
        <w:tc>
          <w:tcPr>
            <w:tcW w:w="300" w:type="pct"/>
            <w:vAlign w:val="center"/>
          </w:tcPr>
          <w:p w14:paraId="7ADE9251">
            <w:pPr>
              <w:adjustRightInd w:val="0"/>
              <w:snapToGrid w:val="0"/>
              <w:jc w:val="center"/>
              <w:rPr>
                <w:rFonts w:hint="eastAsia"/>
                <w:color w:val="000000"/>
              </w:rPr>
            </w:pPr>
          </w:p>
        </w:tc>
        <w:tc>
          <w:tcPr>
            <w:tcW w:w="538" w:type="pct"/>
            <w:vAlign w:val="center"/>
          </w:tcPr>
          <w:p w14:paraId="105ECDCC">
            <w:pPr>
              <w:adjustRightInd w:val="0"/>
              <w:snapToGrid w:val="0"/>
              <w:rPr>
                <w:rFonts w:hint="eastAsia"/>
                <w:color w:val="000000"/>
              </w:rPr>
            </w:pPr>
          </w:p>
        </w:tc>
        <w:tc>
          <w:tcPr>
            <w:tcW w:w="451" w:type="pct"/>
            <w:vAlign w:val="center"/>
          </w:tcPr>
          <w:p w14:paraId="0ED26000">
            <w:pPr>
              <w:adjustRightInd w:val="0"/>
              <w:snapToGrid w:val="0"/>
              <w:rPr>
                <w:rFonts w:hint="eastAsia"/>
                <w:color w:val="000000"/>
              </w:rPr>
            </w:pPr>
          </w:p>
        </w:tc>
        <w:tc>
          <w:tcPr>
            <w:tcW w:w="336" w:type="pct"/>
            <w:vAlign w:val="center"/>
          </w:tcPr>
          <w:p w14:paraId="1007A89A">
            <w:pPr>
              <w:adjustRightInd w:val="0"/>
              <w:snapToGrid w:val="0"/>
              <w:rPr>
                <w:rFonts w:hint="eastAsia"/>
                <w:color w:val="000000"/>
              </w:rPr>
            </w:pPr>
          </w:p>
        </w:tc>
        <w:tc>
          <w:tcPr>
            <w:tcW w:w="609" w:type="pct"/>
            <w:vAlign w:val="center"/>
          </w:tcPr>
          <w:p w14:paraId="54A0D1F8">
            <w:pPr>
              <w:adjustRightInd w:val="0"/>
              <w:snapToGrid w:val="0"/>
              <w:rPr>
                <w:rFonts w:hint="eastAsia"/>
                <w:color w:val="000000"/>
              </w:rPr>
            </w:pPr>
          </w:p>
        </w:tc>
      </w:tr>
      <w:tr w14:paraId="5A76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pct"/>
            <w:gridSpan w:val="9"/>
            <w:vAlign w:val="center"/>
          </w:tcPr>
          <w:p w14:paraId="59291F23">
            <w:pPr>
              <w:adjustRightInd w:val="0"/>
              <w:snapToGrid w:val="0"/>
              <w:jc w:val="right"/>
              <w:rPr>
                <w:rFonts w:hint="eastAsia"/>
                <w:color w:val="000000"/>
              </w:rPr>
            </w:pPr>
            <w:r>
              <w:rPr>
                <w:rFonts w:hint="eastAsia"/>
                <w:b/>
                <w:color w:val="000000"/>
                <w:sz w:val="21"/>
                <w:szCs w:val="21"/>
              </w:rPr>
              <w:t>总价（元）</w:t>
            </w:r>
          </w:p>
        </w:tc>
        <w:tc>
          <w:tcPr>
            <w:tcW w:w="609" w:type="pct"/>
            <w:vAlign w:val="center"/>
          </w:tcPr>
          <w:p w14:paraId="31441FE6">
            <w:pPr>
              <w:adjustRightInd w:val="0"/>
              <w:snapToGrid w:val="0"/>
              <w:rPr>
                <w:rFonts w:hint="eastAsia"/>
                <w:color w:val="000000"/>
              </w:rPr>
            </w:pPr>
          </w:p>
        </w:tc>
      </w:tr>
    </w:tbl>
    <w:p w14:paraId="65E48A5B">
      <w:pPr>
        <w:spacing w:line="360" w:lineRule="auto"/>
        <w:ind w:firstLine="420" w:firstLineChars="200"/>
        <w:rPr>
          <w:rFonts w:ascii="Times New Roman" w:hAnsi="Times New Roman" w:cs="Times New Roman"/>
          <w:sz w:val="21"/>
          <w:szCs w:val="21"/>
        </w:rPr>
      </w:pPr>
    </w:p>
    <w:p w14:paraId="6F87700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注1：投标报价应包含招标文件所要求的项目实施的全部费用。</w:t>
      </w:r>
    </w:p>
    <w:p w14:paraId="42A1C949">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注2：如果不提供详细的报价明细表将被拒绝。</w:t>
      </w:r>
    </w:p>
    <w:p w14:paraId="73D30D25">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注3：投标报价明细表也可另附。</w:t>
      </w:r>
    </w:p>
    <w:p w14:paraId="564A8885">
      <w:pPr>
        <w:spacing w:line="360" w:lineRule="auto"/>
        <w:ind w:firstLine="420" w:firstLineChars="200"/>
        <w:rPr>
          <w:rFonts w:ascii="Times New Roman" w:hAnsi="Times New Roman" w:cs="Times New Roman"/>
          <w:sz w:val="21"/>
          <w:szCs w:val="21"/>
        </w:rPr>
      </w:pPr>
    </w:p>
    <w:p w14:paraId="67FA65C1">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5CA4343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163F7A85">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45F527C8">
      <w:pPr>
        <w:spacing w:line="360" w:lineRule="auto"/>
        <w:ind w:firstLine="482" w:firstLineChars="200"/>
        <w:rPr>
          <w:rFonts w:hint="eastAsia"/>
          <w:b/>
          <w:color w:val="000000"/>
        </w:rPr>
      </w:pPr>
    </w:p>
    <w:p w14:paraId="29649D9B">
      <w:pPr>
        <w:spacing w:line="360" w:lineRule="auto"/>
        <w:ind w:firstLine="482" w:firstLineChars="200"/>
        <w:rPr>
          <w:rFonts w:hint="eastAsia"/>
          <w:b/>
          <w:color w:val="000000"/>
        </w:rPr>
      </w:pPr>
    </w:p>
    <w:p w14:paraId="7E501270">
      <w:pPr>
        <w:spacing w:line="360" w:lineRule="auto"/>
        <w:ind w:firstLine="420" w:firstLineChars="200"/>
        <w:rPr>
          <w:rFonts w:ascii="Times New Roman" w:hAnsi="Times New Roman" w:cs="Times New Roman"/>
          <w:sz w:val="21"/>
          <w:szCs w:val="21"/>
        </w:rPr>
        <w:sectPr>
          <w:pgSz w:w="11906" w:h="16838"/>
          <w:pgMar w:top="1440" w:right="1800" w:bottom="1440" w:left="1800" w:header="851" w:footer="992" w:gutter="0"/>
          <w:cols w:space="720" w:num="1"/>
          <w:docGrid w:type="lines" w:linePitch="326" w:charSpace="0"/>
        </w:sectPr>
      </w:pPr>
    </w:p>
    <w:p w14:paraId="0954AB7E">
      <w:pPr>
        <w:spacing w:line="360" w:lineRule="auto"/>
        <w:ind w:firstLine="420" w:firstLineChars="200"/>
        <w:rPr>
          <w:rFonts w:ascii="Times New Roman" w:hAnsi="Times New Roman" w:cs="Times New Roman"/>
          <w:sz w:val="21"/>
          <w:szCs w:val="21"/>
        </w:rPr>
      </w:pPr>
    </w:p>
    <w:p w14:paraId="35123EA5">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17" w:name="_Toc5135"/>
      <w:r>
        <w:rPr>
          <w:rFonts w:hint="eastAsia" w:ascii="Times New Roman" w:hAnsi="Times New Roman" w:cs="Times New Roman"/>
          <w:b/>
        </w:rPr>
        <w:t>采购需求偏离表</w:t>
      </w:r>
      <w:bookmarkEnd w:id="1917"/>
    </w:p>
    <w:p w14:paraId="0D85904E">
      <w:pPr>
        <w:pStyle w:val="7"/>
        <w:spacing w:line="360" w:lineRule="auto"/>
        <w:ind w:firstLine="0"/>
        <w:rPr>
          <w:rFonts w:hint="eastAsia" w:hAnsi="宋体" w:cs="Arial"/>
          <w:sz w:val="21"/>
          <w:szCs w:val="21"/>
        </w:rPr>
      </w:pPr>
      <w:r>
        <w:rPr>
          <w:rFonts w:hAnsi="宋体" w:cs="Arial"/>
          <w:sz w:val="21"/>
          <w:szCs w:val="21"/>
        </w:rPr>
        <w:t>项目编号：</w:t>
      </w:r>
      <w:r>
        <w:rPr>
          <w:rFonts w:hint="eastAsia" w:hAnsi="宋体" w:cs="Arial"/>
          <w:sz w:val="21"/>
          <w:szCs w:val="21"/>
        </w:rPr>
        <w:t xml:space="preserve">                                                  </w:t>
      </w:r>
      <w:r>
        <w:rPr>
          <w:rFonts w:hAnsi="宋体" w:cs="Arial"/>
          <w:sz w:val="21"/>
          <w:szCs w:val="21"/>
        </w:rPr>
        <w:t>项目名称：</w:t>
      </w:r>
    </w:p>
    <w:tbl>
      <w:tblPr>
        <w:tblStyle w:val="31"/>
        <w:tblW w:w="93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1409"/>
        <w:gridCol w:w="3278"/>
        <w:gridCol w:w="2557"/>
        <w:gridCol w:w="1315"/>
      </w:tblGrid>
      <w:tr w14:paraId="5A0E3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14:paraId="0E5DF3D0">
            <w:pPr>
              <w:snapToGrid w:val="0"/>
              <w:spacing w:before="326" w:beforeLines="100" w:after="326" w:afterLines="100"/>
              <w:jc w:val="center"/>
              <w:rPr>
                <w:rFonts w:hint="eastAsia" w:cs="Arial"/>
                <w:sz w:val="21"/>
                <w:szCs w:val="21"/>
              </w:rPr>
            </w:pPr>
            <w:r>
              <w:rPr>
                <w:rFonts w:cs="Arial"/>
                <w:sz w:val="21"/>
                <w:szCs w:val="21"/>
              </w:rPr>
              <w:t>序号</w:t>
            </w:r>
          </w:p>
        </w:tc>
        <w:tc>
          <w:tcPr>
            <w:tcW w:w="1409" w:type="dxa"/>
            <w:vAlign w:val="center"/>
          </w:tcPr>
          <w:p w14:paraId="0265534B">
            <w:pPr>
              <w:snapToGrid w:val="0"/>
              <w:spacing w:before="163" w:beforeLines="50" w:after="163" w:afterLines="50"/>
              <w:jc w:val="center"/>
              <w:rPr>
                <w:rFonts w:hint="eastAsia" w:cs="Arial"/>
                <w:sz w:val="21"/>
                <w:szCs w:val="21"/>
              </w:rPr>
            </w:pPr>
            <w:r>
              <w:rPr>
                <w:rFonts w:hint="eastAsia" w:cs="Arial"/>
                <w:sz w:val="21"/>
                <w:szCs w:val="21"/>
              </w:rPr>
              <w:t>服务名称</w:t>
            </w:r>
          </w:p>
        </w:tc>
        <w:tc>
          <w:tcPr>
            <w:tcW w:w="3278" w:type="dxa"/>
            <w:vAlign w:val="center"/>
          </w:tcPr>
          <w:p w14:paraId="4C573FAA">
            <w:pPr>
              <w:snapToGrid w:val="0"/>
              <w:spacing w:before="163" w:beforeLines="50" w:after="163" w:afterLines="50"/>
              <w:jc w:val="center"/>
              <w:rPr>
                <w:rFonts w:hint="eastAsia" w:cs="Arial"/>
                <w:sz w:val="21"/>
                <w:szCs w:val="21"/>
              </w:rPr>
            </w:pPr>
            <w:r>
              <w:rPr>
                <w:rFonts w:cs="Arial"/>
                <w:sz w:val="21"/>
                <w:szCs w:val="21"/>
              </w:rPr>
              <w:t>招标文件</w:t>
            </w:r>
            <w:r>
              <w:rPr>
                <w:rFonts w:hint="eastAsia" w:cs="Arial"/>
                <w:sz w:val="21"/>
                <w:szCs w:val="21"/>
              </w:rPr>
              <w:t>采购</w:t>
            </w:r>
            <w:r>
              <w:rPr>
                <w:rFonts w:cs="Arial"/>
                <w:sz w:val="21"/>
                <w:szCs w:val="21"/>
              </w:rPr>
              <w:t>需求</w:t>
            </w:r>
          </w:p>
        </w:tc>
        <w:tc>
          <w:tcPr>
            <w:tcW w:w="2557" w:type="dxa"/>
            <w:vAlign w:val="center"/>
          </w:tcPr>
          <w:p w14:paraId="71347FAB">
            <w:pPr>
              <w:snapToGrid w:val="0"/>
              <w:spacing w:before="163" w:beforeLines="50" w:after="163" w:afterLines="50"/>
              <w:jc w:val="center"/>
              <w:rPr>
                <w:rFonts w:hint="eastAsia" w:cs="Arial"/>
                <w:sz w:val="21"/>
                <w:szCs w:val="21"/>
              </w:rPr>
            </w:pPr>
            <w:r>
              <w:rPr>
                <w:rFonts w:cs="Arial"/>
                <w:sz w:val="21"/>
                <w:szCs w:val="21"/>
              </w:rPr>
              <w:t>投标文件响应内容</w:t>
            </w:r>
          </w:p>
          <w:p w14:paraId="3ECBB957">
            <w:pPr>
              <w:snapToGrid w:val="0"/>
              <w:spacing w:before="163" w:beforeLines="50" w:after="163" w:afterLines="50"/>
              <w:jc w:val="center"/>
              <w:rPr>
                <w:rFonts w:hint="eastAsia" w:cs="Arial"/>
                <w:sz w:val="21"/>
                <w:szCs w:val="21"/>
              </w:rPr>
            </w:pPr>
            <w:r>
              <w:rPr>
                <w:rFonts w:cs="Arial"/>
                <w:sz w:val="21"/>
                <w:szCs w:val="21"/>
              </w:rPr>
              <w:t>（</w:t>
            </w:r>
            <w:r>
              <w:rPr>
                <w:rFonts w:hint="eastAsia" w:cs="Arial"/>
                <w:sz w:val="21"/>
                <w:szCs w:val="21"/>
              </w:rPr>
              <w:t>投标</w:t>
            </w:r>
            <w:r>
              <w:rPr>
                <w:rFonts w:cs="Arial"/>
                <w:sz w:val="21"/>
                <w:szCs w:val="21"/>
              </w:rPr>
              <w:t>人须逐条应答）</w:t>
            </w:r>
          </w:p>
        </w:tc>
        <w:tc>
          <w:tcPr>
            <w:tcW w:w="1315" w:type="dxa"/>
            <w:vAlign w:val="center"/>
          </w:tcPr>
          <w:p w14:paraId="318854C9">
            <w:pPr>
              <w:snapToGrid w:val="0"/>
              <w:spacing w:before="163" w:beforeLines="50" w:after="163" w:afterLines="50"/>
              <w:jc w:val="center"/>
              <w:rPr>
                <w:rFonts w:hint="eastAsia" w:cs="Arial"/>
                <w:sz w:val="21"/>
                <w:szCs w:val="21"/>
              </w:rPr>
            </w:pPr>
            <w:r>
              <w:rPr>
                <w:rFonts w:cs="Arial"/>
                <w:sz w:val="21"/>
                <w:szCs w:val="21"/>
              </w:rPr>
              <w:t>偏差说明</w:t>
            </w:r>
          </w:p>
        </w:tc>
      </w:tr>
      <w:tr w14:paraId="5BAAE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826" w:type="dxa"/>
            <w:vAlign w:val="center"/>
          </w:tcPr>
          <w:p w14:paraId="00D6DAEB">
            <w:pPr>
              <w:snapToGrid w:val="0"/>
              <w:jc w:val="center"/>
              <w:rPr>
                <w:rFonts w:hint="eastAsia" w:cs="Arial"/>
                <w:sz w:val="21"/>
                <w:szCs w:val="21"/>
              </w:rPr>
            </w:pPr>
          </w:p>
        </w:tc>
        <w:tc>
          <w:tcPr>
            <w:tcW w:w="1409" w:type="dxa"/>
            <w:vAlign w:val="center"/>
          </w:tcPr>
          <w:p w14:paraId="7F79197C">
            <w:pPr>
              <w:jc w:val="center"/>
              <w:rPr>
                <w:rFonts w:hint="eastAsia" w:cs="Arial"/>
                <w:sz w:val="21"/>
                <w:szCs w:val="21"/>
              </w:rPr>
            </w:pPr>
          </w:p>
        </w:tc>
        <w:tc>
          <w:tcPr>
            <w:tcW w:w="3278" w:type="dxa"/>
            <w:vAlign w:val="center"/>
          </w:tcPr>
          <w:p w14:paraId="77F252A2">
            <w:pPr>
              <w:jc w:val="center"/>
              <w:rPr>
                <w:rFonts w:hint="eastAsia" w:cs="Arial"/>
                <w:sz w:val="21"/>
                <w:szCs w:val="21"/>
              </w:rPr>
            </w:pPr>
          </w:p>
        </w:tc>
        <w:tc>
          <w:tcPr>
            <w:tcW w:w="2557" w:type="dxa"/>
            <w:vAlign w:val="center"/>
          </w:tcPr>
          <w:p w14:paraId="67998CE6">
            <w:pPr>
              <w:ind w:right="300" w:rightChars="125"/>
              <w:jc w:val="center"/>
              <w:rPr>
                <w:rFonts w:hint="eastAsia" w:cs="Arial"/>
                <w:sz w:val="21"/>
                <w:szCs w:val="21"/>
              </w:rPr>
            </w:pPr>
          </w:p>
        </w:tc>
        <w:tc>
          <w:tcPr>
            <w:tcW w:w="1315" w:type="dxa"/>
            <w:vAlign w:val="center"/>
          </w:tcPr>
          <w:p w14:paraId="1AAA8E5C">
            <w:pPr>
              <w:jc w:val="center"/>
              <w:rPr>
                <w:rFonts w:hint="eastAsia" w:cs="Arial"/>
                <w:sz w:val="21"/>
                <w:szCs w:val="21"/>
              </w:rPr>
            </w:pPr>
          </w:p>
        </w:tc>
      </w:tr>
      <w:tr w14:paraId="3EDB8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826" w:type="dxa"/>
            <w:vAlign w:val="center"/>
          </w:tcPr>
          <w:p w14:paraId="16453E8A">
            <w:pPr>
              <w:snapToGrid w:val="0"/>
              <w:jc w:val="center"/>
              <w:rPr>
                <w:rFonts w:hint="eastAsia" w:cs="Arial"/>
                <w:sz w:val="21"/>
                <w:szCs w:val="21"/>
              </w:rPr>
            </w:pPr>
          </w:p>
        </w:tc>
        <w:tc>
          <w:tcPr>
            <w:tcW w:w="1409" w:type="dxa"/>
            <w:vAlign w:val="center"/>
          </w:tcPr>
          <w:p w14:paraId="057B4299">
            <w:pPr>
              <w:jc w:val="center"/>
              <w:rPr>
                <w:rFonts w:hint="eastAsia" w:cs="Arial"/>
                <w:sz w:val="21"/>
                <w:szCs w:val="21"/>
              </w:rPr>
            </w:pPr>
          </w:p>
        </w:tc>
        <w:tc>
          <w:tcPr>
            <w:tcW w:w="3278" w:type="dxa"/>
            <w:vAlign w:val="center"/>
          </w:tcPr>
          <w:p w14:paraId="2CB93537">
            <w:pPr>
              <w:jc w:val="center"/>
              <w:rPr>
                <w:rFonts w:hint="eastAsia" w:cs="Arial"/>
                <w:sz w:val="21"/>
                <w:szCs w:val="21"/>
              </w:rPr>
            </w:pPr>
          </w:p>
        </w:tc>
        <w:tc>
          <w:tcPr>
            <w:tcW w:w="2557" w:type="dxa"/>
            <w:vAlign w:val="center"/>
          </w:tcPr>
          <w:p w14:paraId="58E5C894">
            <w:pPr>
              <w:jc w:val="center"/>
              <w:rPr>
                <w:rFonts w:hint="eastAsia" w:cs="Arial"/>
                <w:sz w:val="21"/>
                <w:szCs w:val="21"/>
              </w:rPr>
            </w:pPr>
          </w:p>
        </w:tc>
        <w:tc>
          <w:tcPr>
            <w:tcW w:w="1315" w:type="dxa"/>
            <w:vAlign w:val="center"/>
          </w:tcPr>
          <w:p w14:paraId="0A9F9CAF">
            <w:pPr>
              <w:jc w:val="center"/>
              <w:rPr>
                <w:rFonts w:hint="eastAsia" w:cs="Arial"/>
                <w:sz w:val="21"/>
                <w:szCs w:val="21"/>
              </w:rPr>
            </w:pPr>
          </w:p>
        </w:tc>
      </w:tr>
    </w:tbl>
    <w:p w14:paraId="3E7B26E7">
      <w:pPr>
        <w:spacing w:line="360" w:lineRule="auto"/>
        <w:ind w:firstLine="420" w:firstLineChars="200"/>
        <w:rPr>
          <w:rFonts w:hint="eastAsia" w:cs="Arial"/>
          <w:sz w:val="21"/>
          <w:szCs w:val="21"/>
        </w:rPr>
      </w:pPr>
      <w:r>
        <w:rPr>
          <w:rFonts w:cs="Arial"/>
          <w:sz w:val="21"/>
          <w:szCs w:val="21"/>
        </w:rPr>
        <w:t>注：</w:t>
      </w:r>
    </w:p>
    <w:p w14:paraId="61CC2560">
      <w:pPr>
        <w:spacing w:line="360" w:lineRule="auto"/>
        <w:ind w:firstLine="420" w:firstLineChars="200"/>
        <w:rPr>
          <w:rFonts w:hint="eastAsia" w:cs="Arial"/>
          <w:sz w:val="21"/>
          <w:szCs w:val="21"/>
        </w:rPr>
      </w:pPr>
      <w:r>
        <w:rPr>
          <w:rFonts w:hint="eastAsia" w:cs="Arial"/>
          <w:sz w:val="21"/>
          <w:szCs w:val="21"/>
        </w:rPr>
        <w:t>1. 对招标文件中的所有商务、技术要求，除本表所列明的所有偏离外，均视作申请人已对之理解和响应。此表中若无任何文字说明，内容为空白，申请无效。</w:t>
      </w:r>
    </w:p>
    <w:p w14:paraId="619D39BA">
      <w:pPr>
        <w:spacing w:line="360" w:lineRule="auto"/>
        <w:ind w:firstLine="420" w:firstLineChars="200"/>
        <w:rPr>
          <w:rFonts w:ascii="Times New Roman" w:hAnsi="Times New Roman" w:cs="Times New Roman"/>
          <w:sz w:val="21"/>
          <w:szCs w:val="21"/>
        </w:rPr>
      </w:pPr>
      <w:r>
        <w:rPr>
          <w:rFonts w:hint="eastAsia" w:cs="Arial"/>
          <w:sz w:val="21"/>
          <w:szCs w:val="21"/>
        </w:rPr>
        <w:t>2.“偏离情况”列应据实填写“正偏离”或“负偏离”或“无偏离”。</w:t>
      </w: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6C192935">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64109A86">
      <w:pPr>
        <w:spacing w:line="360" w:lineRule="auto"/>
        <w:ind w:firstLine="420" w:firstLineChars="200"/>
        <w:rPr>
          <w:rFonts w:ascii="Times New Roman" w:hAnsi="Times New Roman" w:cs="Times New Roman"/>
          <w:sz w:val="21"/>
          <w:szCs w:val="21"/>
        </w:rPr>
        <w:sectPr>
          <w:pgSz w:w="11906" w:h="16838"/>
          <w:pgMar w:top="1440" w:right="1800" w:bottom="1440" w:left="1800" w:header="851" w:footer="992" w:gutter="0"/>
          <w:cols w:space="720" w:num="1"/>
          <w:docGrid w:type="lines" w:linePitch="326" w:charSpace="0"/>
        </w:sect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4EAA1767">
      <w:pPr>
        <w:spacing w:line="360" w:lineRule="auto"/>
        <w:ind w:firstLine="480" w:firstLineChars="200"/>
        <w:rPr>
          <w:rFonts w:ascii="Times New Roman" w:hAnsi="Times New Roman" w:cs="Times New Roman"/>
          <w:szCs w:val="21"/>
        </w:rPr>
      </w:pPr>
    </w:p>
    <w:p w14:paraId="099AC773">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18" w:name="_Toc32381"/>
      <w:r>
        <w:rPr>
          <w:rFonts w:ascii="Times New Roman" w:hAnsi="Times New Roman" w:cs="Times New Roman"/>
          <w:b/>
        </w:rPr>
        <w:t>商务条款偏离表</w:t>
      </w:r>
      <w:bookmarkEnd w:id="1918"/>
    </w:p>
    <w:p w14:paraId="30182883">
      <w:pPr>
        <w:pStyle w:val="7"/>
        <w:spacing w:line="360" w:lineRule="auto"/>
        <w:ind w:firstLine="0"/>
        <w:rPr>
          <w:rFonts w:hint="eastAsia" w:hAnsi="宋体" w:cs="Arial"/>
          <w:sz w:val="21"/>
          <w:szCs w:val="21"/>
        </w:rPr>
      </w:pPr>
      <w:r>
        <w:rPr>
          <w:rFonts w:hAnsi="宋体" w:cs="Arial"/>
          <w:sz w:val="21"/>
          <w:szCs w:val="21"/>
        </w:rPr>
        <w:t>项目编号：</w:t>
      </w:r>
      <w:r>
        <w:rPr>
          <w:rFonts w:hint="eastAsia" w:hAnsi="宋体" w:cs="Arial"/>
          <w:sz w:val="21"/>
          <w:szCs w:val="21"/>
        </w:rPr>
        <w:t xml:space="preserve">                                                         </w:t>
      </w:r>
      <w:r>
        <w:rPr>
          <w:rFonts w:hAnsi="宋体" w:cs="Arial"/>
          <w:sz w:val="21"/>
          <w:szCs w:val="21"/>
        </w:rPr>
        <w:t>项目名称：</w:t>
      </w:r>
    </w:p>
    <w:tbl>
      <w:tblPr>
        <w:tblStyle w:val="31"/>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87"/>
        <w:gridCol w:w="1749"/>
        <w:gridCol w:w="1750"/>
        <w:gridCol w:w="2129"/>
        <w:gridCol w:w="724"/>
      </w:tblGrid>
      <w:tr w14:paraId="54E3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03" w:type="dxa"/>
            <w:gridSpan w:val="6"/>
            <w:vAlign w:val="center"/>
          </w:tcPr>
          <w:p w14:paraId="7FBE9237">
            <w:pPr>
              <w:adjustRightInd w:val="0"/>
              <w:snapToGrid w:val="0"/>
              <w:rPr>
                <w:rFonts w:hint="eastAsia"/>
                <w:b/>
                <w:color w:val="000000"/>
              </w:rPr>
            </w:pPr>
            <w:r>
              <w:rPr>
                <w:rFonts w:hint="eastAsia"/>
                <w:b/>
                <w:color w:val="000000"/>
              </w:rPr>
              <w:t>对本项目合同条款的偏离情况（请进行勾选）：</w:t>
            </w:r>
          </w:p>
          <w:p w14:paraId="0C5A2AB0">
            <w:pPr>
              <w:adjustRightInd w:val="0"/>
              <w:snapToGrid w:val="0"/>
              <w:rPr>
                <w:rFonts w:hint="eastAsia"/>
                <w:b/>
                <w:color w:val="000000"/>
              </w:rPr>
            </w:pPr>
            <w:r>
              <w:rPr>
                <w:rFonts w:hint="eastAsia"/>
                <w:b/>
                <w:color w:val="000000"/>
              </w:rPr>
              <w:t>□无偏离</w:t>
            </w:r>
            <w:r>
              <w:rPr>
                <w:rFonts w:hint="eastAsia"/>
                <w:color w:val="000000"/>
              </w:rPr>
              <w:t>（如无偏离，仅勾选无偏离即可）</w:t>
            </w:r>
          </w:p>
          <w:p w14:paraId="43AA5AB9">
            <w:pPr>
              <w:adjustRightInd w:val="0"/>
              <w:snapToGrid w:val="0"/>
              <w:rPr>
                <w:rFonts w:hint="eastAsia"/>
                <w:color w:val="000000"/>
              </w:rPr>
            </w:pPr>
            <w:r>
              <w:rPr>
                <w:rFonts w:hint="eastAsia"/>
                <w:b/>
                <w:color w:val="000000"/>
              </w:rPr>
              <w:t>□有偏离</w:t>
            </w:r>
            <w:r>
              <w:rPr>
                <w:rFonts w:hint="eastAsia"/>
                <w:color w:val="000000"/>
              </w:rPr>
              <w:t>（如有偏离，则应在本表中对偏离项逐一列明）</w:t>
            </w:r>
          </w:p>
        </w:tc>
      </w:tr>
      <w:tr w14:paraId="1DBC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4" w:type="dxa"/>
            <w:vAlign w:val="center"/>
          </w:tcPr>
          <w:p w14:paraId="367E4F58">
            <w:pPr>
              <w:adjustRightInd w:val="0"/>
              <w:snapToGrid w:val="0"/>
              <w:jc w:val="center"/>
              <w:rPr>
                <w:rFonts w:hint="eastAsia"/>
                <w:color w:val="000000"/>
              </w:rPr>
            </w:pPr>
            <w:r>
              <w:rPr>
                <w:rFonts w:hint="eastAsia"/>
                <w:color w:val="000000"/>
              </w:rPr>
              <w:t>序号</w:t>
            </w:r>
          </w:p>
        </w:tc>
        <w:tc>
          <w:tcPr>
            <w:tcW w:w="1187" w:type="dxa"/>
            <w:vAlign w:val="center"/>
          </w:tcPr>
          <w:p w14:paraId="60E27C62">
            <w:pPr>
              <w:adjustRightInd w:val="0"/>
              <w:snapToGrid w:val="0"/>
              <w:jc w:val="center"/>
              <w:rPr>
                <w:rFonts w:hint="eastAsia"/>
                <w:color w:val="000000"/>
              </w:rPr>
            </w:pPr>
            <w:r>
              <w:rPr>
                <w:rFonts w:hint="eastAsia"/>
                <w:color w:val="000000"/>
              </w:rPr>
              <w:t>招标文件条目号（页码）</w:t>
            </w:r>
          </w:p>
        </w:tc>
        <w:tc>
          <w:tcPr>
            <w:tcW w:w="1749" w:type="dxa"/>
            <w:vAlign w:val="center"/>
          </w:tcPr>
          <w:p w14:paraId="539A1DE1">
            <w:pPr>
              <w:adjustRightInd w:val="0"/>
              <w:snapToGrid w:val="0"/>
              <w:jc w:val="center"/>
              <w:rPr>
                <w:rFonts w:hint="eastAsia"/>
                <w:color w:val="000000"/>
              </w:rPr>
            </w:pPr>
            <w:r>
              <w:rPr>
                <w:rFonts w:hint="eastAsia"/>
                <w:color w:val="000000"/>
              </w:rPr>
              <w:t>招标文件要求</w:t>
            </w:r>
          </w:p>
        </w:tc>
        <w:tc>
          <w:tcPr>
            <w:tcW w:w="1750" w:type="dxa"/>
            <w:vAlign w:val="center"/>
          </w:tcPr>
          <w:p w14:paraId="5C3204E2">
            <w:pPr>
              <w:adjustRightInd w:val="0"/>
              <w:snapToGrid w:val="0"/>
              <w:jc w:val="center"/>
              <w:rPr>
                <w:rFonts w:hint="eastAsia"/>
                <w:color w:val="000000"/>
              </w:rPr>
            </w:pPr>
            <w:r>
              <w:rPr>
                <w:rFonts w:hint="eastAsia"/>
                <w:color w:val="000000"/>
              </w:rPr>
              <w:t>投标文件内容</w:t>
            </w:r>
          </w:p>
        </w:tc>
        <w:tc>
          <w:tcPr>
            <w:tcW w:w="2129" w:type="dxa"/>
            <w:vAlign w:val="center"/>
          </w:tcPr>
          <w:p w14:paraId="18974581">
            <w:pPr>
              <w:adjustRightInd w:val="0"/>
              <w:snapToGrid w:val="0"/>
              <w:jc w:val="center"/>
              <w:rPr>
                <w:rFonts w:hint="eastAsia"/>
                <w:color w:val="000000"/>
              </w:rPr>
            </w:pPr>
            <w:r>
              <w:rPr>
                <w:rFonts w:hint="eastAsia"/>
                <w:color w:val="000000"/>
              </w:rPr>
              <w:t>偏离情况</w:t>
            </w:r>
          </w:p>
        </w:tc>
        <w:tc>
          <w:tcPr>
            <w:tcW w:w="724" w:type="dxa"/>
            <w:vAlign w:val="center"/>
          </w:tcPr>
          <w:p w14:paraId="05F0A173">
            <w:pPr>
              <w:adjustRightInd w:val="0"/>
              <w:snapToGrid w:val="0"/>
              <w:jc w:val="center"/>
              <w:rPr>
                <w:rFonts w:hint="eastAsia"/>
                <w:color w:val="000000"/>
              </w:rPr>
            </w:pPr>
            <w:r>
              <w:rPr>
                <w:rFonts w:hint="eastAsia"/>
                <w:color w:val="000000"/>
              </w:rPr>
              <w:t>说明</w:t>
            </w:r>
          </w:p>
        </w:tc>
      </w:tr>
      <w:tr w14:paraId="0D3D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4" w:type="dxa"/>
            <w:vAlign w:val="center"/>
          </w:tcPr>
          <w:p w14:paraId="2090A88D">
            <w:pPr>
              <w:adjustRightInd w:val="0"/>
              <w:snapToGrid w:val="0"/>
              <w:jc w:val="center"/>
              <w:rPr>
                <w:rFonts w:hint="eastAsia"/>
                <w:color w:val="000000"/>
              </w:rPr>
            </w:pPr>
          </w:p>
        </w:tc>
        <w:tc>
          <w:tcPr>
            <w:tcW w:w="1187" w:type="dxa"/>
            <w:vAlign w:val="center"/>
          </w:tcPr>
          <w:p w14:paraId="7401D85F">
            <w:pPr>
              <w:adjustRightInd w:val="0"/>
              <w:snapToGrid w:val="0"/>
              <w:jc w:val="center"/>
              <w:rPr>
                <w:rFonts w:hint="eastAsia"/>
                <w:color w:val="000000"/>
              </w:rPr>
            </w:pPr>
          </w:p>
        </w:tc>
        <w:tc>
          <w:tcPr>
            <w:tcW w:w="1749" w:type="dxa"/>
            <w:vAlign w:val="center"/>
          </w:tcPr>
          <w:p w14:paraId="239F4EAD">
            <w:pPr>
              <w:adjustRightInd w:val="0"/>
              <w:snapToGrid w:val="0"/>
              <w:jc w:val="center"/>
              <w:rPr>
                <w:rFonts w:hint="eastAsia"/>
                <w:color w:val="000000"/>
              </w:rPr>
            </w:pPr>
          </w:p>
        </w:tc>
        <w:tc>
          <w:tcPr>
            <w:tcW w:w="1750" w:type="dxa"/>
            <w:vAlign w:val="center"/>
          </w:tcPr>
          <w:p w14:paraId="380B95A1">
            <w:pPr>
              <w:adjustRightInd w:val="0"/>
              <w:snapToGrid w:val="0"/>
              <w:jc w:val="center"/>
              <w:rPr>
                <w:rFonts w:hint="eastAsia"/>
                <w:color w:val="000000"/>
              </w:rPr>
            </w:pPr>
          </w:p>
        </w:tc>
        <w:tc>
          <w:tcPr>
            <w:tcW w:w="2129" w:type="dxa"/>
            <w:vAlign w:val="center"/>
          </w:tcPr>
          <w:p w14:paraId="025B6031">
            <w:pPr>
              <w:adjustRightInd w:val="0"/>
              <w:snapToGrid w:val="0"/>
              <w:jc w:val="center"/>
              <w:rPr>
                <w:rFonts w:hint="eastAsia"/>
                <w:color w:val="000000"/>
              </w:rPr>
            </w:pPr>
          </w:p>
        </w:tc>
        <w:tc>
          <w:tcPr>
            <w:tcW w:w="724" w:type="dxa"/>
            <w:vAlign w:val="center"/>
          </w:tcPr>
          <w:p w14:paraId="74C29E7C">
            <w:pPr>
              <w:adjustRightInd w:val="0"/>
              <w:snapToGrid w:val="0"/>
              <w:jc w:val="center"/>
              <w:rPr>
                <w:rFonts w:hint="eastAsia"/>
                <w:color w:val="000000"/>
              </w:rPr>
            </w:pPr>
          </w:p>
        </w:tc>
      </w:tr>
      <w:tr w14:paraId="65D1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4" w:type="dxa"/>
            <w:vAlign w:val="center"/>
          </w:tcPr>
          <w:p w14:paraId="59687A2E">
            <w:pPr>
              <w:adjustRightInd w:val="0"/>
              <w:snapToGrid w:val="0"/>
              <w:jc w:val="center"/>
              <w:rPr>
                <w:rFonts w:hint="eastAsia"/>
                <w:color w:val="000000"/>
              </w:rPr>
            </w:pPr>
          </w:p>
        </w:tc>
        <w:tc>
          <w:tcPr>
            <w:tcW w:w="1187" w:type="dxa"/>
            <w:vAlign w:val="center"/>
          </w:tcPr>
          <w:p w14:paraId="37D0D23D">
            <w:pPr>
              <w:adjustRightInd w:val="0"/>
              <w:snapToGrid w:val="0"/>
              <w:jc w:val="center"/>
              <w:rPr>
                <w:rFonts w:hint="eastAsia"/>
                <w:color w:val="000000"/>
              </w:rPr>
            </w:pPr>
          </w:p>
        </w:tc>
        <w:tc>
          <w:tcPr>
            <w:tcW w:w="1749" w:type="dxa"/>
            <w:vAlign w:val="center"/>
          </w:tcPr>
          <w:p w14:paraId="09466BAD">
            <w:pPr>
              <w:adjustRightInd w:val="0"/>
              <w:snapToGrid w:val="0"/>
              <w:jc w:val="center"/>
              <w:rPr>
                <w:rFonts w:hint="eastAsia"/>
                <w:color w:val="000000"/>
              </w:rPr>
            </w:pPr>
          </w:p>
        </w:tc>
        <w:tc>
          <w:tcPr>
            <w:tcW w:w="1750" w:type="dxa"/>
            <w:vAlign w:val="center"/>
          </w:tcPr>
          <w:p w14:paraId="37CF6D88">
            <w:pPr>
              <w:adjustRightInd w:val="0"/>
              <w:snapToGrid w:val="0"/>
              <w:jc w:val="center"/>
              <w:rPr>
                <w:rFonts w:hint="eastAsia"/>
                <w:color w:val="000000"/>
              </w:rPr>
            </w:pPr>
          </w:p>
        </w:tc>
        <w:tc>
          <w:tcPr>
            <w:tcW w:w="2129" w:type="dxa"/>
            <w:vAlign w:val="center"/>
          </w:tcPr>
          <w:p w14:paraId="61442618">
            <w:pPr>
              <w:adjustRightInd w:val="0"/>
              <w:snapToGrid w:val="0"/>
              <w:jc w:val="center"/>
              <w:rPr>
                <w:rFonts w:hint="eastAsia"/>
                <w:color w:val="000000"/>
              </w:rPr>
            </w:pPr>
          </w:p>
        </w:tc>
        <w:tc>
          <w:tcPr>
            <w:tcW w:w="724" w:type="dxa"/>
            <w:vAlign w:val="center"/>
          </w:tcPr>
          <w:p w14:paraId="11BA5DD2">
            <w:pPr>
              <w:adjustRightInd w:val="0"/>
              <w:snapToGrid w:val="0"/>
              <w:jc w:val="center"/>
              <w:rPr>
                <w:rFonts w:hint="eastAsia"/>
                <w:color w:val="000000"/>
              </w:rPr>
            </w:pPr>
          </w:p>
        </w:tc>
      </w:tr>
      <w:tr w14:paraId="1657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4" w:type="dxa"/>
            <w:vAlign w:val="center"/>
          </w:tcPr>
          <w:p w14:paraId="1094954E">
            <w:pPr>
              <w:adjustRightInd w:val="0"/>
              <w:snapToGrid w:val="0"/>
              <w:jc w:val="center"/>
              <w:rPr>
                <w:rFonts w:hint="eastAsia"/>
                <w:color w:val="000000"/>
              </w:rPr>
            </w:pPr>
          </w:p>
        </w:tc>
        <w:tc>
          <w:tcPr>
            <w:tcW w:w="1187" w:type="dxa"/>
            <w:vAlign w:val="center"/>
          </w:tcPr>
          <w:p w14:paraId="2DB678FB">
            <w:pPr>
              <w:adjustRightInd w:val="0"/>
              <w:snapToGrid w:val="0"/>
              <w:jc w:val="center"/>
              <w:rPr>
                <w:rFonts w:hint="eastAsia"/>
                <w:color w:val="000000"/>
              </w:rPr>
            </w:pPr>
          </w:p>
        </w:tc>
        <w:tc>
          <w:tcPr>
            <w:tcW w:w="1749" w:type="dxa"/>
            <w:vAlign w:val="center"/>
          </w:tcPr>
          <w:p w14:paraId="30B068A8">
            <w:pPr>
              <w:adjustRightInd w:val="0"/>
              <w:snapToGrid w:val="0"/>
              <w:jc w:val="center"/>
              <w:rPr>
                <w:rFonts w:hint="eastAsia"/>
                <w:color w:val="000000"/>
              </w:rPr>
            </w:pPr>
          </w:p>
        </w:tc>
        <w:tc>
          <w:tcPr>
            <w:tcW w:w="1750" w:type="dxa"/>
            <w:vAlign w:val="center"/>
          </w:tcPr>
          <w:p w14:paraId="06F4F046">
            <w:pPr>
              <w:adjustRightInd w:val="0"/>
              <w:snapToGrid w:val="0"/>
              <w:jc w:val="center"/>
              <w:rPr>
                <w:rFonts w:hint="eastAsia"/>
                <w:color w:val="000000"/>
              </w:rPr>
            </w:pPr>
          </w:p>
        </w:tc>
        <w:tc>
          <w:tcPr>
            <w:tcW w:w="2129" w:type="dxa"/>
            <w:vAlign w:val="center"/>
          </w:tcPr>
          <w:p w14:paraId="7A220C15">
            <w:pPr>
              <w:adjustRightInd w:val="0"/>
              <w:snapToGrid w:val="0"/>
              <w:jc w:val="center"/>
              <w:rPr>
                <w:rFonts w:hint="eastAsia"/>
                <w:color w:val="000000"/>
              </w:rPr>
            </w:pPr>
          </w:p>
        </w:tc>
        <w:tc>
          <w:tcPr>
            <w:tcW w:w="724" w:type="dxa"/>
            <w:vAlign w:val="center"/>
          </w:tcPr>
          <w:p w14:paraId="1718D66C">
            <w:pPr>
              <w:adjustRightInd w:val="0"/>
              <w:snapToGrid w:val="0"/>
              <w:jc w:val="center"/>
              <w:rPr>
                <w:rFonts w:hint="eastAsia"/>
                <w:color w:val="000000"/>
              </w:rPr>
            </w:pPr>
          </w:p>
        </w:tc>
      </w:tr>
      <w:tr w14:paraId="0B1F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4" w:type="dxa"/>
            <w:vAlign w:val="center"/>
          </w:tcPr>
          <w:p w14:paraId="6AA22B2C">
            <w:pPr>
              <w:adjustRightInd w:val="0"/>
              <w:snapToGrid w:val="0"/>
              <w:jc w:val="center"/>
              <w:rPr>
                <w:rFonts w:hint="eastAsia"/>
                <w:color w:val="000000"/>
              </w:rPr>
            </w:pPr>
          </w:p>
        </w:tc>
        <w:tc>
          <w:tcPr>
            <w:tcW w:w="1187" w:type="dxa"/>
            <w:vAlign w:val="center"/>
          </w:tcPr>
          <w:p w14:paraId="5FBAA041">
            <w:pPr>
              <w:adjustRightInd w:val="0"/>
              <w:snapToGrid w:val="0"/>
              <w:jc w:val="center"/>
              <w:rPr>
                <w:rFonts w:hint="eastAsia"/>
                <w:color w:val="000000"/>
              </w:rPr>
            </w:pPr>
          </w:p>
        </w:tc>
        <w:tc>
          <w:tcPr>
            <w:tcW w:w="1749" w:type="dxa"/>
            <w:vAlign w:val="center"/>
          </w:tcPr>
          <w:p w14:paraId="6F3CE34F">
            <w:pPr>
              <w:adjustRightInd w:val="0"/>
              <w:snapToGrid w:val="0"/>
              <w:jc w:val="center"/>
              <w:rPr>
                <w:rFonts w:hint="eastAsia"/>
                <w:color w:val="000000"/>
              </w:rPr>
            </w:pPr>
          </w:p>
        </w:tc>
        <w:tc>
          <w:tcPr>
            <w:tcW w:w="1750" w:type="dxa"/>
            <w:vAlign w:val="center"/>
          </w:tcPr>
          <w:p w14:paraId="2484D2D4">
            <w:pPr>
              <w:adjustRightInd w:val="0"/>
              <w:snapToGrid w:val="0"/>
              <w:jc w:val="center"/>
              <w:rPr>
                <w:rFonts w:hint="eastAsia"/>
                <w:color w:val="000000"/>
              </w:rPr>
            </w:pPr>
          </w:p>
        </w:tc>
        <w:tc>
          <w:tcPr>
            <w:tcW w:w="2129" w:type="dxa"/>
            <w:vAlign w:val="center"/>
          </w:tcPr>
          <w:p w14:paraId="3CB6E70C">
            <w:pPr>
              <w:adjustRightInd w:val="0"/>
              <w:snapToGrid w:val="0"/>
              <w:jc w:val="center"/>
              <w:rPr>
                <w:rFonts w:hint="eastAsia"/>
                <w:color w:val="000000"/>
              </w:rPr>
            </w:pPr>
          </w:p>
        </w:tc>
        <w:tc>
          <w:tcPr>
            <w:tcW w:w="724" w:type="dxa"/>
            <w:vAlign w:val="center"/>
          </w:tcPr>
          <w:p w14:paraId="489E00AE">
            <w:pPr>
              <w:adjustRightInd w:val="0"/>
              <w:snapToGrid w:val="0"/>
              <w:jc w:val="center"/>
              <w:rPr>
                <w:rFonts w:hint="eastAsia"/>
                <w:color w:val="000000"/>
              </w:rPr>
            </w:pPr>
          </w:p>
        </w:tc>
      </w:tr>
    </w:tbl>
    <w:p w14:paraId="56E8F377">
      <w:pPr>
        <w:pStyle w:val="15"/>
        <w:adjustRightInd w:val="0"/>
        <w:snapToGrid w:val="0"/>
        <w:rPr>
          <w:rFonts w:hint="eastAsia" w:hAnsi="宋体" w:cs="Arial"/>
          <w:szCs w:val="21"/>
        </w:rPr>
      </w:pPr>
    </w:p>
    <w:p w14:paraId="2AF6E024">
      <w:pPr>
        <w:spacing w:line="360" w:lineRule="auto"/>
        <w:ind w:firstLine="420" w:firstLineChars="200"/>
        <w:rPr>
          <w:rFonts w:hint="eastAsia" w:cs="Arial"/>
          <w:sz w:val="21"/>
          <w:szCs w:val="21"/>
        </w:rPr>
      </w:pPr>
      <w:r>
        <w:rPr>
          <w:rFonts w:hint="eastAsia" w:cs="Arial"/>
          <w:sz w:val="21"/>
          <w:szCs w:val="21"/>
        </w:rPr>
        <w:t>注：</w:t>
      </w:r>
    </w:p>
    <w:p w14:paraId="11FF3B13">
      <w:pPr>
        <w:spacing w:line="360" w:lineRule="auto"/>
        <w:ind w:firstLine="420" w:firstLineChars="200"/>
        <w:rPr>
          <w:rFonts w:hint="eastAsia" w:cs="Arial"/>
          <w:sz w:val="21"/>
          <w:szCs w:val="21"/>
        </w:rPr>
      </w:pPr>
      <w:r>
        <w:rPr>
          <w:rFonts w:hint="eastAsia" w:cs="Arial"/>
          <w:sz w:val="21"/>
          <w:szCs w:val="21"/>
        </w:rPr>
        <w:t>1. 对合同条款中的所有要求，除本表所列明的所有偏离外，均视作申请人已对之理解和响应。</w:t>
      </w:r>
    </w:p>
    <w:p w14:paraId="303820AE">
      <w:pPr>
        <w:spacing w:line="360" w:lineRule="auto"/>
        <w:ind w:firstLine="420" w:firstLineChars="200"/>
        <w:rPr>
          <w:rFonts w:hint="eastAsia" w:cs="Arial"/>
          <w:sz w:val="21"/>
          <w:szCs w:val="21"/>
        </w:rPr>
      </w:pPr>
      <w:r>
        <w:rPr>
          <w:rFonts w:hint="eastAsia" w:cs="Arial"/>
          <w:sz w:val="21"/>
          <w:szCs w:val="21"/>
        </w:rPr>
        <w:t>2. “偏离情况”列应据实填写“正偏离”或“负偏离”或“无偏离”。</w:t>
      </w:r>
    </w:p>
    <w:p w14:paraId="796F72AB">
      <w:pPr>
        <w:spacing w:line="360" w:lineRule="auto"/>
        <w:ind w:firstLine="420" w:firstLineChars="200"/>
        <w:rPr>
          <w:rFonts w:hint="eastAsia" w:cs="Times New Roman"/>
          <w:sz w:val="21"/>
          <w:szCs w:val="21"/>
        </w:rPr>
      </w:pPr>
      <w:r>
        <w:rPr>
          <w:rFonts w:hint="eastAsia" w:cs="Arial"/>
          <w:sz w:val="21"/>
          <w:szCs w:val="21"/>
        </w:rPr>
        <w:t>3</w:t>
      </w:r>
      <w:r>
        <w:rPr>
          <w:rFonts w:cs="Arial"/>
          <w:sz w:val="21"/>
          <w:szCs w:val="21"/>
        </w:rPr>
        <w:t>.</w:t>
      </w:r>
      <w:r>
        <w:rPr>
          <w:rFonts w:hint="eastAsia" w:cs="Arial"/>
          <w:sz w:val="21"/>
          <w:szCs w:val="21"/>
        </w:rPr>
        <w:t xml:space="preserve"> </w:t>
      </w:r>
      <w:r>
        <w:rPr>
          <w:rFonts w:cs="Arial"/>
          <w:sz w:val="21"/>
          <w:szCs w:val="21"/>
        </w:rPr>
        <w:t>我公司确认，除以上“偏差说明”栏中列明的偏差外，我公司无条件接受招标文件规定的所有商务条款。</w:t>
      </w:r>
    </w:p>
    <w:p w14:paraId="0631E32B">
      <w:pPr>
        <w:spacing w:line="360" w:lineRule="auto"/>
        <w:ind w:firstLine="420" w:firstLineChars="200"/>
        <w:rPr>
          <w:rFonts w:hint="eastAsia" w:cs="Times New Roman"/>
          <w:sz w:val="21"/>
          <w:szCs w:val="21"/>
        </w:rPr>
      </w:pPr>
      <w:r>
        <w:rPr>
          <w:rFonts w:cs="Times New Roman"/>
          <w:sz w:val="21"/>
          <w:szCs w:val="21"/>
        </w:rPr>
        <w:t>投标人名称并加盖公章：</w:t>
      </w:r>
      <w:r>
        <w:rPr>
          <w:rFonts w:cs="Times New Roman"/>
          <w:sz w:val="21"/>
          <w:szCs w:val="21"/>
          <w:u w:val="single"/>
        </w:rPr>
        <w:t xml:space="preserve">                        </w:t>
      </w:r>
    </w:p>
    <w:p w14:paraId="51989C22">
      <w:pPr>
        <w:spacing w:line="360" w:lineRule="auto"/>
        <w:ind w:firstLine="420" w:firstLineChars="200"/>
        <w:rPr>
          <w:rFonts w:hint="eastAsia" w:cs="Times New Roman"/>
          <w:sz w:val="21"/>
          <w:szCs w:val="21"/>
        </w:rPr>
      </w:pPr>
      <w:r>
        <w:rPr>
          <w:rFonts w:cs="Times New Roman"/>
          <w:sz w:val="21"/>
          <w:szCs w:val="21"/>
        </w:rPr>
        <w:t>授权代表签字：</w:t>
      </w:r>
      <w:r>
        <w:rPr>
          <w:rFonts w:cs="Times New Roman"/>
          <w:sz w:val="21"/>
          <w:szCs w:val="21"/>
          <w:u w:val="single"/>
        </w:rPr>
        <w:t xml:space="preserve">                      </w:t>
      </w:r>
    </w:p>
    <w:p w14:paraId="647F16D7">
      <w:pPr>
        <w:spacing w:line="360" w:lineRule="auto"/>
        <w:ind w:firstLine="420" w:firstLineChars="200"/>
        <w:rPr>
          <w:rFonts w:hint="eastAsia" w:cs="Times New Roman"/>
          <w:sz w:val="21"/>
          <w:szCs w:val="21"/>
        </w:rPr>
      </w:pPr>
      <w:r>
        <w:rPr>
          <w:rFonts w:cs="Times New Roman"/>
          <w:sz w:val="21"/>
          <w:szCs w:val="21"/>
        </w:rPr>
        <w:t>日期：</w:t>
      </w:r>
      <w:r>
        <w:rPr>
          <w:rFonts w:cs="Times New Roman"/>
          <w:sz w:val="21"/>
          <w:szCs w:val="21"/>
          <w:u w:val="single"/>
        </w:rPr>
        <w:t xml:space="preserve">        </w:t>
      </w:r>
      <w:r>
        <w:rPr>
          <w:rFonts w:cs="Times New Roman"/>
          <w:sz w:val="21"/>
          <w:szCs w:val="21"/>
        </w:rPr>
        <w:t>年</w:t>
      </w:r>
      <w:r>
        <w:rPr>
          <w:rFonts w:cs="Times New Roman"/>
          <w:sz w:val="21"/>
          <w:szCs w:val="21"/>
          <w:u w:val="single"/>
        </w:rPr>
        <w:t xml:space="preserve">     </w:t>
      </w:r>
      <w:r>
        <w:rPr>
          <w:rFonts w:cs="Times New Roman"/>
          <w:sz w:val="21"/>
          <w:szCs w:val="21"/>
        </w:rPr>
        <w:t>月</w:t>
      </w:r>
      <w:r>
        <w:rPr>
          <w:rFonts w:cs="Times New Roman"/>
          <w:sz w:val="21"/>
          <w:szCs w:val="21"/>
          <w:u w:val="single"/>
        </w:rPr>
        <w:t xml:space="preserve">     </w:t>
      </w:r>
      <w:r>
        <w:rPr>
          <w:rFonts w:cs="Times New Roman"/>
          <w:sz w:val="21"/>
          <w:szCs w:val="21"/>
        </w:rPr>
        <w:t>日</w:t>
      </w:r>
    </w:p>
    <w:p w14:paraId="6B352CC4">
      <w:pPr>
        <w:spacing w:line="360" w:lineRule="auto"/>
        <w:ind w:firstLine="420" w:firstLineChars="200"/>
        <w:rPr>
          <w:rFonts w:hint="eastAsia" w:cs="Times New Roman"/>
          <w:sz w:val="21"/>
          <w:szCs w:val="21"/>
        </w:rPr>
        <w:sectPr>
          <w:pgSz w:w="11906" w:h="16838"/>
          <w:pgMar w:top="1440" w:right="1800" w:bottom="1440" w:left="1800" w:header="851" w:footer="992" w:gutter="0"/>
          <w:cols w:space="720" w:num="1"/>
          <w:docGrid w:type="lines" w:linePitch="326" w:charSpace="0"/>
        </w:sectPr>
      </w:pPr>
    </w:p>
    <w:p w14:paraId="13C1CEDB">
      <w:pPr>
        <w:spacing w:line="360" w:lineRule="auto"/>
        <w:ind w:firstLine="480" w:firstLineChars="200"/>
        <w:rPr>
          <w:rFonts w:ascii="Times New Roman" w:hAnsi="Times New Roman" w:cs="Times New Roman"/>
          <w:szCs w:val="21"/>
        </w:rPr>
      </w:pPr>
    </w:p>
    <w:p w14:paraId="36F7C427">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19" w:name="_Toc30397"/>
      <w:r>
        <w:rPr>
          <w:rFonts w:ascii="Times New Roman" w:hAnsi="Times New Roman" w:cs="Times New Roman"/>
          <w:b/>
        </w:rPr>
        <w:t>投标人资格证明文件</w:t>
      </w:r>
      <w:bookmarkEnd w:id="1919"/>
    </w:p>
    <w:p w14:paraId="37DE04E8">
      <w:pPr>
        <w:spacing w:line="360" w:lineRule="auto"/>
        <w:ind w:firstLine="480" w:firstLineChars="200"/>
        <w:rPr>
          <w:rFonts w:ascii="Times New Roman" w:hAnsi="Times New Roman" w:cs="Times New Roman"/>
          <w:szCs w:val="21"/>
        </w:rPr>
      </w:pPr>
    </w:p>
    <w:p w14:paraId="2BFE8617">
      <w:pPr>
        <w:pStyle w:val="63"/>
        <w:numPr>
          <w:ilvl w:val="1"/>
          <w:numId w:val="21"/>
        </w:numPr>
        <w:tabs>
          <w:tab w:val="left" w:pos="851"/>
        </w:tabs>
        <w:spacing w:line="360" w:lineRule="auto"/>
        <w:ind w:left="851" w:hanging="851" w:firstLineChars="0"/>
        <w:jc w:val="center"/>
        <w:outlineLvl w:val="0"/>
        <w:rPr>
          <w:rFonts w:ascii="Times New Roman" w:hAnsi="Times New Roman" w:cs="Times New Roman"/>
          <w:b/>
          <w:sz w:val="21"/>
          <w:szCs w:val="21"/>
        </w:rPr>
      </w:pPr>
      <w:bookmarkStart w:id="1920" w:name="_Toc15386347"/>
      <w:bookmarkStart w:id="1921" w:name="_Toc164420908"/>
      <w:bookmarkStart w:id="1922" w:name="_Toc407613403"/>
      <w:bookmarkStart w:id="1923" w:name="_Toc535397828"/>
      <w:bookmarkStart w:id="1924" w:name="_Toc13225580"/>
      <w:bookmarkStart w:id="1925" w:name="_Toc134729019"/>
      <w:bookmarkStart w:id="1926" w:name="_Toc406596019"/>
      <w:bookmarkStart w:id="1927" w:name="_Toc31187"/>
      <w:bookmarkStart w:id="1928" w:name="_Toc1236"/>
      <w:r>
        <w:rPr>
          <w:rFonts w:ascii="Times New Roman" w:hAnsi="Times New Roman" w:cs="Times New Roman"/>
          <w:b/>
          <w:sz w:val="21"/>
          <w:szCs w:val="21"/>
        </w:rPr>
        <w:t>营业执照及相关资质证书复印件</w:t>
      </w:r>
      <w:bookmarkEnd w:id="1920"/>
      <w:bookmarkEnd w:id="1921"/>
      <w:bookmarkEnd w:id="1922"/>
      <w:bookmarkEnd w:id="1923"/>
      <w:bookmarkEnd w:id="1924"/>
      <w:bookmarkEnd w:id="1925"/>
      <w:bookmarkEnd w:id="1926"/>
      <w:bookmarkEnd w:id="1927"/>
      <w:bookmarkEnd w:id="1928"/>
    </w:p>
    <w:p w14:paraId="2F554DB7">
      <w:pPr>
        <w:pStyle w:val="63"/>
        <w:spacing w:line="360" w:lineRule="auto"/>
        <w:ind w:left="851" w:firstLine="0" w:firstLineChars="0"/>
        <w:rPr>
          <w:rFonts w:ascii="Times New Roman" w:hAnsi="Times New Roman" w:cs="Times New Roman"/>
          <w:b/>
          <w:sz w:val="21"/>
          <w:szCs w:val="21"/>
        </w:rPr>
      </w:pPr>
    </w:p>
    <w:p w14:paraId="4731748A">
      <w:pPr>
        <w:pStyle w:val="63"/>
        <w:tabs>
          <w:tab w:val="left" w:pos="851"/>
        </w:tabs>
        <w:spacing w:line="360" w:lineRule="auto"/>
        <w:ind w:left="851" w:firstLine="0" w:firstLineChars="0"/>
        <w:outlineLvl w:val="0"/>
        <w:rPr>
          <w:rFonts w:ascii="Times New Roman" w:hAnsi="Times New Roman" w:cs="Times New Roman"/>
          <w:sz w:val="21"/>
          <w:szCs w:val="21"/>
        </w:rPr>
      </w:pPr>
      <w:bookmarkStart w:id="1929" w:name="_Toc134729020"/>
      <w:bookmarkStart w:id="1930" w:name="_Toc164420909"/>
      <w:bookmarkStart w:id="1931" w:name="_Toc23484"/>
      <w:bookmarkStart w:id="1932" w:name="_Toc23995"/>
      <w:r>
        <w:rPr>
          <w:rFonts w:hint="eastAsia" w:ascii="Times New Roman" w:hAnsi="Times New Roman" w:cs="Times New Roman"/>
          <w:sz w:val="21"/>
          <w:szCs w:val="21"/>
        </w:rPr>
        <w:t>1.、营业执照</w:t>
      </w:r>
      <w:bookmarkEnd w:id="1929"/>
      <w:r>
        <w:rPr>
          <w:rFonts w:hint="eastAsia" w:ascii="Times New Roman" w:hAnsi="Times New Roman" w:cs="Times New Roman"/>
          <w:sz w:val="21"/>
          <w:szCs w:val="21"/>
        </w:rPr>
        <w:t>等相关证明材料</w:t>
      </w:r>
      <w:bookmarkEnd w:id="1930"/>
      <w:r>
        <w:rPr>
          <w:rFonts w:hint="eastAsia" w:ascii="Times New Roman" w:hAnsi="Times New Roman" w:cs="Times New Roman"/>
          <w:sz w:val="21"/>
          <w:szCs w:val="21"/>
        </w:rPr>
        <w:t>。</w:t>
      </w:r>
      <w:bookmarkEnd w:id="1931"/>
      <w:bookmarkEnd w:id="1932"/>
    </w:p>
    <w:p w14:paraId="29A8F662">
      <w:pPr>
        <w:pStyle w:val="63"/>
        <w:tabs>
          <w:tab w:val="left" w:pos="851"/>
        </w:tabs>
        <w:spacing w:line="360" w:lineRule="auto"/>
        <w:ind w:left="851" w:firstLine="0" w:firstLineChars="0"/>
        <w:outlineLvl w:val="0"/>
        <w:rPr>
          <w:rFonts w:ascii="Times New Roman" w:hAnsi="Times New Roman" w:cs="Times New Roman"/>
          <w:sz w:val="21"/>
          <w:szCs w:val="21"/>
        </w:rPr>
      </w:pPr>
      <w:bookmarkStart w:id="1933" w:name="_Toc21102"/>
      <w:bookmarkStart w:id="1934" w:name="_Toc164420910"/>
      <w:bookmarkStart w:id="1935" w:name="_Toc32755"/>
      <w:bookmarkStart w:id="1936" w:name="_Toc134729023"/>
      <w:r>
        <w:rPr>
          <w:rFonts w:hint="eastAsia" w:ascii="Times New Roman" w:hAnsi="Times New Roman" w:cs="Times New Roman"/>
          <w:sz w:val="21"/>
          <w:szCs w:val="21"/>
        </w:rPr>
        <w:t>2、投标人必须提供“信用中国”网站（</w:t>
      </w:r>
      <w:r>
        <w:rPr>
          <w:rFonts w:ascii="Times New Roman" w:hAnsi="Times New Roman" w:cs="Times New Roman"/>
          <w:sz w:val="21"/>
          <w:szCs w:val="21"/>
        </w:rPr>
        <w:t>www.creditchina.gov.cn）和中国政府采购网（www.ccgp.gov.cn）查询信用记录（截至时点为投标截止时间前5个工作日内）的查询记录截图</w:t>
      </w:r>
      <w:r>
        <w:rPr>
          <w:rFonts w:hint="eastAsia" w:ascii="Times New Roman" w:hAnsi="Times New Roman" w:cs="Times New Roman"/>
          <w:sz w:val="21"/>
          <w:szCs w:val="21"/>
        </w:rPr>
        <w:t>。</w:t>
      </w:r>
      <w:bookmarkEnd w:id="1933"/>
      <w:bookmarkEnd w:id="1934"/>
      <w:bookmarkEnd w:id="1935"/>
      <w:bookmarkEnd w:id="1936"/>
    </w:p>
    <w:p w14:paraId="69D57649">
      <w:pPr>
        <w:pStyle w:val="63"/>
        <w:tabs>
          <w:tab w:val="left" w:pos="851"/>
        </w:tabs>
        <w:spacing w:line="360" w:lineRule="auto"/>
        <w:ind w:left="851" w:firstLine="0" w:firstLineChars="0"/>
        <w:outlineLvl w:val="0"/>
        <w:rPr>
          <w:rFonts w:ascii="Times New Roman" w:hAnsi="Times New Roman" w:cs="Times New Roman"/>
          <w:sz w:val="21"/>
          <w:szCs w:val="21"/>
        </w:rPr>
      </w:pPr>
      <w:bookmarkStart w:id="1937" w:name="_Toc24748"/>
      <w:bookmarkStart w:id="1938" w:name="_Toc164420911"/>
      <w:bookmarkStart w:id="1939" w:name="_Toc134729024"/>
      <w:bookmarkStart w:id="1940" w:name="_Toc6990"/>
      <w:r>
        <w:rPr>
          <w:rFonts w:hint="eastAsia" w:ascii="Times New Roman" w:hAnsi="Times New Roman" w:cs="Times New Roman"/>
          <w:sz w:val="21"/>
          <w:szCs w:val="21"/>
        </w:rPr>
        <w:t>（以上资料需提供复印件并加盖投标人公章）</w:t>
      </w:r>
      <w:bookmarkEnd w:id="1937"/>
      <w:bookmarkEnd w:id="1938"/>
      <w:bookmarkEnd w:id="1939"/>
      <w:bookmarkEnd w:id="1940"/>
    </w:p>
    <w:p w14:paraId="11C0944B">
      <w:pPr>
        <w:spacing w:line="360" w:lineRule="auto"/>
        <w:ind w:firstLine="420" w:firstLineChars="200"/>
        <w:jc w:val="center"/>
        <w:rPr>
          <w:rFonts w:ascii="Times New Roman" w:hAnsi="Times New Roman" w:cs="Times New Roman"/>
          <w:sz w:val="21"/>
          <w:szCs w:val="21"/>
        </w:rPr>
      </w:pPr>
    </w:p>
    <w:p w14:paraId="2A5FC2F0">
      <w:pPr>
        <w:spacing w:line="360" w:lineRule="auto"/>
        <w:ind w:firstLine="420" w:firstLineChars="200"/>
        <w:jc w:val="center"/>
        <w:rPr>
          <w:rFonts w:ascii="Times New Roman" w:hAnsi="Times New Roman" w:cs="Times New Roman"/>
          <w:sz w:val="21"/>
          <w:szCs w:val="21"/>
        </w:rPr>
        <w:sectPr>
          <w:pgSz w:w="11906" w:h="16838"/>
          <w:pgMar w:top="1440" w:right="1800" w:bottom="1440" w:left="1800" w:header="851" w:footer="992" w:gutter="0"/>
          <w:cols w:space="720" w:num="1"/>
          <w:docGrid w:type="lines" w:linePitch="326" w:charSpace="0"/>
        </w:sectPr>
      </w:pPr>
    </w:p>
    <w:p w14:paraId="56C2D030">
      <w:pPr>
        <w:spacing w:line="360" w:lineRule="auto"/>
        <w:ind w:firstLine="420" w:firstLineChars="200"/>
        <w:jc w:val="center"/>
        <w:rPr>
          <w:rFonts w:ascii="Times New Roman" w:hAnsi="Times New Roman" w:cs="Times New Roman"/>
          <w:sz w:val="21"/>
          <w:szCs w:val="21"/>
        </w:rPr>
      </w:pPr>
    </w:p>
    <w:p w14:paraId="3D37F001">
      <w:pPr>
        <w:pStyle w:val="63"/>
        <w:numPr>
          <w:ilvl w:val="1"/>
          <w:numId w:val="21"/>
        </w:numPr>
        <w:tabs>
          <w:tab w:val="left" w:pos="851"/>
        </w:tabs>
        <w:spacing w:line="360" w:lineRule="auto"/>
        <w:ind w:left="851" w:hanging="851" w:firstLineChars="0"/>
        <w:jc w:val="center"/>
        <w:outlineLvl w:val="0"/>
        <w:rPr>
          <w:rFonts w:ascii="Times New Roman" w:hAnsi="Times New Roman" w:cs="Times New Roman"/>
          <w:b/>
          <w:szCs w:val="21"/>
        </w:rPr>
      </w:pPr>
      <w:bookmarkStart w:id="1941" w:name="_Toc5338"/>
      <w:bookmarkStart w:id="1942" w:name="_Toc13225581"/>
      <w:bookmarkStart w:id="1943" w:name="_Toc15386348"/>
      <w:bookmarkStart w:id="1944" w:name="_Toc164420912"/>
      <w:bookmarkStart w:id="1945" w:name="_Toc407613406"/>
      <w:bookmarkStart w:id="1946" w:name="_Toc406596022"/>
      <w:bookmarkStart w:id="1947" w:name="_Toc7220"/>
      <w:bookmarkStart w:id="1948" w:name="_Toc134729025"/>
      <w:bookmarkStart w:id="1949" w:name="_Toc535397829"/>
      <w:r>
        <w:rPr>
          <w:rFonts w:ascii="Times New Roman" w:hAnsi="Times New Roman" w:cs="Times New Roman"/>
          <w:b/>
          <w:szCs w:val="21"/>
        </w:rPr>
        <w:t>投标人的资格声明</w:t>
      </w:r>
      <w:bookmarkEnd w:id="1941"/>
      <w:bookmarkEnd w:id="1942"/>
      <w:bookmarkEnd w:id="1943"/>
      <w:bookmarkEnd w:id="1944"/>
      <w:bookmarkEnd w:id="1945"/>
      <w:bookmarkEnd w:id="1946"/>
      <w:bookmarkEnd w:id="1947"/>
      <w:bookmarkEnd w:id="1948"/>
      <w:bookmarkEnd w:id="1949"/>
    </w:p>
    <w:p w14:paraId="42999B3F">
      <w:pPr>
        <w:spacing w:line="360" w:lineRule="auto"/>
        <w:ind w:left="420"/>
        <w:rPr>
          <w:rFonts w:ascii="Times New Roman" w:hAnsi="Times New Roman" w:cs="Times New Roman"/>
          <w:sz w:val="21"/>
          <w:szCs w:val="21"/>
        </w:rPr>
      </w:pPr>
    </w:p>
    <w:p w14:paraId="04B7BC41">
      <w:pPr>
        <w:numPr>
          <w:ilvl w:val="0"/>
          <w:numId w:val="24"/>
        </w:numPr>
        <w:spacing w:line="360" w:lineRule="auto"/>
        <w:rPr>
          <w:rFonts w:ascii="Times New Roman" w:hAnsi="Times New Roman" w:cs="Times New Roman"/>
          <w:sz w:val="21"/>
          <w:szCs w:val="21"/>
        </w:rPr>
      </w:pPr>
      <w:r>
        <w:rPr>
          <w:rFonts w:ascii="Times New Roman" w:hAnsi="Times New Roman" w:cs="Times New Roman"/>
          <w:sz w:val="21"/>
          <w:szCs w:val="21"/>
        </w:rPr>
        <w:t>名称和概况：</w:t>
      </w:r>
    </w:p>
    <w:p w14:paraId="4EF2D2E9">
      <w:pPr>
        <w:numPr>
          <w:ilvl w:val="1"/>
          <w:numId w:val="24"/>
        </w:numPr>
        <w:spacing w:line="360" w:lineRule="auto"/>
        <w:rPr>
          <w:rFonts w:ascii="Times New Roman" w:hAnsi="Times New Roman" w:cs="Times New Roman"/>
          <w:sz w:val="21"/>
          <w:szCs w:val="21"/>
        </w:rPr>
      </w:pPr>
      <w:r>
        <w:rPr>
          <w:rFonts w:ascii="Times New Roman" w:hAnsi="Times New Roman" w:cs="Times New Roman"/>
          <w:sz w:val="21"/>
          <w:szCs w:val="21"/>
        </w:rPr>
        <w:t>投标人名称：</w:t>
      </w:r>
      <w:r>
        <w:rPr>
          <w:rFonts w:ascii="Times New Roman" w:hAnsi="Times New Roman" w:cs="Times New Roman"/>
          <w:sz w:val="21"/>
          <w:szCs w:val="21"/>
          <w:u w:val="single"/>
        </w:rPr>
        <w:t xml:space="preserve">                                                   </w:t>
      </w:r>
    </w:p>
    <w:p w14:paraId="2076FF30">
      <w:pPr>
        <w:numPr>
          <w:ilvl w:val="1"/>
          <w:numId w:val="24"/>
        </w:numPr>
        <w:spacing w:line="360" w:lineRule="auto"/>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邮编：</w:t>
      </w:r>
      <w:r>
        <w:rPr>
          <w:rFonts w:ascii="Times New Roman" w:hAnsi="Times New Roman" w:cs="Times New Roman"/>
          <w:sz w:val="21"/>
          <w:szCs w:val="21"/>
          <w:u w:val="single"/>
        </w:rPr>
        <w:t xml:space="preserve">                  </w:t>
      </w:r>
    </w:p>
    <w:p w14:paraId="25E5CD32">
      <w:pPr>
        <w:spacing w:line="360" w:lineRule="auto"/>
        <w:ind w:left="1260"/>
        <w:rPr>
          <w:rFonts w:ascii="Times New Roman" w:hAnsi="Times New Roman" w:cs="Times New Roman"/>
          <w:sz w:val="21"/>
          <w:szCs w:val="21"/>
        </w:rPr>
      </w:pPr>
      <w:r>
        <w:rPr>
          <w:rFonts w:ascii="Times New Roman" w:hAnsi="Times New Roman" w:cs="Times New Roman"/>
          <w:sz w:val="21"/>
          <w:szCs w:val="21"/>
        </w:rPr>
        <w:t>传真／电话：</w:t>
      </w:r>
      <w:r>
        <w:rPr>
          <w:rFonts w:ascii="Times New Roman" w:hAnsi="Times New Roman" w:cs="Times New Roman"/>
          <w:sz w:val="21"/>
          <w:szCs w:val="21"/>
          <w:u w:val="single"/>
        </w:rPr>
        <w:t xml:space="preserve">                                                   </w:t>
      </w:r>
    </w:p>
    <w:p w14:paraId="4E2C14F6">
      <w:pPr>
        <w:numPr>
          <w:ilvl w:val="1"/>
          <w:numId w:val="24"/>
        </w:numPr>
        <w:spacing w:line="360" w:lineRule="auto"/>
        <w:rPr>
          <w:rFonts w:ascii="Times New Roman" w:hAnsi="Times New Roman" w:cs="Times New Roman"/>
          <w:sz w:val="21"/>
          <w:szCs w:val="21"/>
        </w:rPr>
      </w:pPr>
      <w:r>
        <w:rPr>
          <w:rFonts w:ascii="Times New Roman" w:hAnsi="Times New Roman" w:cs="Times New Roman"/>
          <w:sz w:val="21"/>
          <w:szCs w:val="21"/>
        </w:rPr>
        <w:t>成立日期或注册日期：</w:t>
      </w:r>
      <w:r>
        <w:rPr>
          <w:rFonts w:ascii="Times New Roman" w:hAnsi="Times New Roman" w:cs="Times New Roman"/>
          <w:sz w:val="21"/>
          <w:szCs w:val="21"/>
          <w:u w:val="single"/>
        </w:rPr>
        <w:t xml:space="preserve">                                           </w:t>
      </w:r>
    </w:p>
    <w:p w14:paraId="4B93DE29">
      <w:pPr>
        <w:numPr>
          <w:ilvl w:val="1"/>
          <w:numId w:val="24"/>
        </w:numPr>
        <w:spacing w:line="360" w:lineRule="auto"/>
        <w:rPr>
          <w:rFonts w:ascii="Times New Roman" w:hAnsi="Times New Roman" w:cs="Times New Roman"/>
          <w:sz w:val="21"/>
          <w:szCs w:val="21"/>
        </w:rPr>
      </w:pPr>
      <w:r>
        <w:rPr>
          <w:rFonts w:ascii="Times New Roman" w:hAnsi="Times New Roman" w:cs="Times New Roman"/>
          <w:sz w:val="21"/>
          <w:szCs w:val="21"/>
        </w:rPr>
        <w:t>实收资本：</w:t>
      </w:r>
      <w:r>
        <w:rPr>
          <w:rFonts w:ascii="Times New Roman" w:hAnsi="Times New Roman" w:cs="Times New Roman"/>
          <w:sz w:val="21"/>
          <w:szCs w:val="21"/>
          <w:u w:val="single"/>
        </w:rPr>
        <w:t xml:space="preserve">                                                     </w:t>
      </w:r>
    </w:p>
    <w:p w14:paraId="4FD0BFBA">
      <w:pPr>
        <w:numPr>
          <w:ilvl w:val="1"/>
          <w:numId w:val="24"/>
        </w:numPr>
        <w:spacing w:line="360" w:lineRule="auto"/>
        <w:rPr>
          <w:rFonts w:ascii="Times New Roman" w:hAnsi="Times New Roman" w:cs="Times New Roman"/>
          <w:sz w:val="21"/>
          <w:szCs w:val="21"/>
        </w:rPr>
      </w:pPr>
      <w:r>
        <w:rPr>
          <w:rFonts w:ascii="Times New Roman" w:hAnsi="Times New Roman" w:cs="Times New Roman"/>
          <w:sz w:val="21"/>
          <w:szCs w:val="21"/>
        </w:rPr>
        <w:t>最近年度资产平衡表（到</w:t>
      </w:r>
      <w:r>
        <w:rPr>
          <w:rFonts w:ascii="Times New Roman" w:hAnsi="Times New Roman" w:cs="Times New Roman"/>
          <w:sz w:val="21"/>
          <w:szCs w:val="21"/>
          <w:u w:val="single"/>
        </w:rPr>
        <w:t xml:space="preserve">           </w:t>
      </w:r>
      <w:r>
        <w:rPr>
          <w:rFonts w:ascii="Times New Roman" w:hAnsi="Times New Roman" w:cs="Times New Roman"/>
          <w:sz w:val="21"/>
          <w:szCs w:val="21"/>
        </w:rPr>
        <w:t>时为止）</w:t>
      </w:r>
    </w:p>
    <w:p w14:paraId="69AB7209">
      <w:pPr>
        <w:numPr>
          <w:ilvl w:val="2"/>
          <w:numId w:val="24"/>
        </w:numPr>
        <w:spacing w:line="360" w:lineRule="auto"/>
        <w:rPr>
          <w:rFonts w:ascii="Times New Roman" w:hAnsi="Times New Roman" w:cs="Times New Roman"/>
          <w:sz w:val="21"/>
          <w:szCs w:val="21"/>
        </w:rPr>
      </w:pPr>
      <w:r>
        <w:rPr>
          <w:rFonts w:ascii="Times New Roman" w:hAnsi="Times New Roman" w:cs="Times New Roman"/>
          <w:sz w:val="21"/>
          <w:szCs w:val="21"/>
        </w:rPr>
        <w:t>固定资产：</w:t>
      </w:r>
      <w:r>
        <w:rPr>
          <w:rFonts w:ascii="Times New Roman" w:hAnsi="Times New Roman" w:cs="Times New Roman"/>
          <w:sz w:val="21"/>
          <w:szCs w:val="21"/>
          <w:u w:val="single"/>
        </w:rPr>
        <w:t xml:space="preserve">                          </w:t>
      </w:r>
    </w:p>
    <w:p w14:paraId="0DF26CDC">
      <w:pPr>
        <w:numPr>
          <w:ilvl w:val="2"/>
          <w:numId w:val="24"/>
        </w:numPr>
        <w:spacing w:line="360" w:lineRule="auto"/>
        <w:rPr>
          <w:rFonts w:ascii="Times New Roman" w:hAnsi="Times New Roman" w:cs="Times New Roman"/>
          <w:sz w:val="21"/>
          <w:szCs w:val="21"/>
        </w:rPr>
      </w:pPr>
      <w:r>
        <w:rPr>
          <w:rFonts w:ascii="Times New Roman" w:hAnsi="Times New Roman" w:cs="Times New Roman"/>
          <w:sz w:val="21"/>
          <w:szCs w:val="21"/>
        </w:rPr>
        <w:t>流动资产：</w:t>
      </w:r>
      <w:r>
        <w:rPr>
          <w:rFonts w:ascii="Times New Roman" w:hAnsi="Times New Roman" w:cs="Times New Roman"/>
          <w:sz w:val="21"/>
          <w:szCs w:val="21"/>
          <w:u w:val="single"/>
        </w:rPr>
        <w:t xml:space="preserve">                          </w:t>
      </w:r>
    </w:p>
    <w:p w14:paraId="6F283E0F">
      <w:pPr>
        <w:numPr>
          <w:ilvl w:val="2"/>
          <w:numId w:val="24"/>
        </w:numPr>
        <w:spacing w:line="360" w:lineRule="auto"/>
        <w:rPr>
          <w:rFonts w:ascii="Times New Roman" w:hAnsi="Times New Roman" w:cs="Times New Roman"/>
          <w:sz w:val="21"/>
          <w:szCs w:val="21"/>
        </w:rPr>
      </w:pPr>
      <w:r>
        <w:rPr>
          <w:rFonts w:ascii="Times New Roman" w:hAnsi="Times New Roman" w:cs="Times New Roman"/>
          <w:sz w:val="21"/>
          <w:szCs w:val="21"/>
        </w:rPr>
        <w:t>长期债务：</w:t>
      </w:r>
      <w:r>
        <w:rPr>
          <w:rFonts w:ascii="Times New Roman" w:hAnsi="Times New Roman" w:cs="Times New Roman"/>
          <w:sz w:val="21"/>
          <w:szCs w:val="21"/>
          <w:u w:val="single"/>
        </w:rPr>
        <w:t xml:space="preserve">                          </w:t>
      </w:r>
    </w:p>
    <w:p w14:paraId="0DFF66C5">
      <w:pPr>
        <w:numPr>
          <w:ilvl w:val="2"/>
          <w:numId w:val="24"/>
        </w:numPr>
        <w:spacing w:line="360" w:lineRule="auto"/>
        <w:rPr>
          <w:rFonts w:ascii="Times New Roman" w:hAnsi="Times New Roman" w:cs="Times New Roman"/>
          <w:sz w:val="21"/>
          <w:szCs w:val="21"/>
        </w:rPr>
      </w:pPr>
      <w:r>
        <w:rPr>
          <w:rFonts w:ascii="Times New Roman" w:hAnsi="Times New Roman" w:cs="Times New Roman"/>
          <w:sz w:val="21"/>
          <w:szCs w:val="21"/>
        </w:rPr>
        <w:t>流动债务：</w:t>
      </w:r>
      <w:r>
        <w:rPr>
          <w:rFonts w:ascii="Times New Roman" w:hAnsi="Times New Roman" w:cs="Times New Roman"/>
          <w:sz w:val="21"/>
          <w:szCs w:val="21"/>
          <w:u w:val="single"/>
        </w:rPr>
        <w:t xml:space="preserve">                          </w:t>
      </w:r>
    </w:p>
    <w:p w14:paraId="09730079">
      <w:pPr>
        <w:numPr>
          <w:ilvl w:val="2"/>
          <w:numId w:val="24"/>
        </w:numPr>
        <w:spacing w:line="360" w:lineRule="auto"/>
        <w:rPr>
          <w:rFonts w:ascii="Times New Roman" w:hAnsi="Times New Roman" w:cs="Times New Roman"/>
          <w:sz w:val="21"/>
          <w:szCs w:val="21"/>
        </w:rPr>
      </w:pPr>
      <w:r>
        <w:rPr>
          <w:rFonts w:ascii="Times New Roman" w:hAnsi="Times New Roman" w:cs="Times New Roman"/>
          <w:sz w:val="21"/>
          <w:szCs w:val="21"/>
        </w:rPr>
        <w:t>净    值：</w:t>
      </w:r>
      <w:r>
        <w:rPr>
          <w:rFonts w:ascii="Times New Roman" w:hAnsi="Times New Roman" w:cs="Times New Roman"/>
          <w:sz w:val="21"/>
          <w:szCs w:val="21"/>
          <w:u w:val="single"/>
        </w:rPr>
        <w:t xml:space="preserve">                          </w:t>
      </w:r>
    </w:p>
    <w:p w14:paraId="07BA01C7">
      <w:pPr>
        <w:numPr>
          <w:ilvl w:val="1"/>
          <w:numId w:val="24"/>
        </w:numPr>
        <w:spacing w:line="360" w:lineRule="auto"/>
        <w:rPr>
          <w:rFonts w:ascii="Times New Roman" w:hAnsi="Times New Roman" w:cs="Times New Roman"/>
          <w:sz w:val="21"/>
          <w:szCs w:val="21"/>
        </w:rPr>
      </w:pPr>
      <w:r>
        <w:rPr>
          <w:rFonts w:ascii="Times New Roman" w:hAnsi="Times New Roman" w:cs="Times New Roman"/>
          <w:sz w:val="21"/>
          <w:szCs w:val="21"/>
        </w:rPr>
        <w:t>投标人法定代表人名称：</w:t>
      </w:r>
      <w:r>
        <w:rPr>
          <w:rFonts w:ascii="Times New Roman" w:hAnsi="Times New Roman" w:cs="Times New Roman"/>
          <w:sz w:val="21"/>
          <w:szCs w:val="21"/>
          <w:u w:val="single"/>
        </w:rPr>
        <w:t xml:space="preserve">                   </w:t>
      </w:r>
    </w:p>
    <w:p w14:paraId="22CC5772">
      <w:pPr>
        <w:numPr>
          <w:ilvl w:val="1"/>
          <w:numId w:val="24"/>
        </w:numPr>
        <w:spacing w:line="360" w:lineRule="auto"/>
        <w:rPr>
          <w:rFonts w:ascii="Times New Roman" w:hAnsi="Times New Roman" w:cs="Times New Roman"/>
          <w:sz w:val="21"/>
          <w:szCs w:val="21"/>
        </w:rPr>
      </w:pPr>
      <w:r>
        <w:rPr>
          <w:rFonts w:ascii="Times New Roman" w:hAnsi="Times New Roman" w:cs="Times New Roman"/>
          <w:sz w:val="21"/>
          <w:szCs w:val="21"/>
        </w:rPr>
        <w:t>投标人在中华人民共和国的代表姓名和地址、邮编、传真、电话。</w:t>
      </w:r>
    </w:p>
    <w:p w14:paraId="5FBC9586">
      <w:pPr>
        <w:numPr>
          <w:ilvl w:val="0"/>
          <w:numId w:val="24"/>
        </w:numPr>
        <w:spacing w:line="360" w:lineRule="auto"/>
        <w:rPr>
          <w:rFonts w:ascii="Times New Roman" w:hAnsi="Times New Roman" w:cs="Times New Roman"/>
          <w:sz w:val="21"/>
          <w:szCs w:val="21"/>
        </w:rPr>
      </w:pPr>
      <w:r>
        <w:rPr>
          <w:rFonts w:ascii="Times New Roman" w:hAnsi="Times New Roman" w:cs="Times New Roman"/>
          <w:sz w:val="21"/>
          <w:szCs w:val="21"/>
        </w:rPr>
        <w:t>开户银行名称和地址：</w:t>
      </w:r>
      <w:r>
        <w:rPr>
          <w:rFonts w:ascii="Times New Roman" w:hAnsi="Times New Roman" w:cs="Times New Roman"/>
          <w:sz w:val="21"/>
          <w:szCs w:val="21"/>
          <w:u w:val="single"/>
        </w:rPr>
        <w:t xml:space="preserve">                                               </w:t>
      </w:r>
    </w:p>
    <w:p w14:paraId="10594047">
      <w:pPr>
        <w:numPr>
          <w:ilvl w:val="0"/>
          <w:numId w:val="24"/>
        </w:numPr>
        <w:spacing w:line="360" w:lineRule="auto"/>
        <w:rPr>
          <w:rFonts w:ascii="Times New Roman" w:hAnsi="Times New Roman" w:cs="Times New Roman"/>
          <w:sz w:val="21"/>
          <w:szCs w:val="21"/>
        </w:rPr>
      </w:pPr>
      <w:r>
        <w:rPr>
          <w:rFonts w:ascii="Times New Roman" w:hAnsi="Times New Roman" w:cs="Times New Roman"/>
          <w:sz w:val="21"/>
          <w:szCs w:val="21"/>
        </w:rPr>
        <w:t>所属财团（如有的话）：</w:t>
      </w:r>
      <w:r>
        <w:rPr>
          <w:rFonts w:ascii="Times New Roman" w:hAnsi="Times New Roman" w:cs="Times New Roman"/>
          <w:sz w:val="21"/>
          <w:szCs w:val="21"/>
          <w:u w:val="single"/>
        </w:rPr>
        <w:t xml:space="preserve">                                              </w:t>
      </w:r>
    </w:p>
    <w:p w14:paraId="2F92A222">
      <w:pPr>
        <w:numPr>
          <w:ilvl w:val="0"/>
          <w:numId w:val="24"/>
        </w:numPr>
        <w:spacing w:line="360" w:lineRule="auto"/>
        <w:rPr>
          <w:rFonts w:ascii="Times New Roman" w:hAnsi="Times New Roman" w:cs="Times New Roman"/>
          <w:sz w:val="21"/>
          <w:szCs w:val="21"/>
        </w:rPr>
      </w:pPr>
      <w:r>
        <w:rPr>
          <w:rFonts w:ascii="Times New Roman" w:hAnsi="Times New Roman" w:cs="Times New Roman"/>
          <w:sz w:val="21"/>
          <w:szCs w:val="21"/>
        </w:rPr>
        <w:t>其它情况（年表、组织、机构等）：</w:t>
      </w:r>
      <w:r>
        <w:rPr>
          <w:rFonts w:ascii="Times New Roman" w:hAnsi="Times New Roman" w:cs="Times New Roman"/>
          <w:sz w:val="21"/>
          <w:szCs w:val="21"/>
          <w:u w:val="single"/>
        </w:rPr>
        <w:t xml:space="preserve">                                    </w:t>
      </w:r>
    </w:p>
    <w:p w14:paraId="5EE94FE0">
      <w:pPr>
        <w:spacing w:line="360" w:lineRule="auto"/>
        <w:ind w:left="420"/>
        <w:rPr>
          <w:rFonts w:ascii="Times New Roman" w:hAnsi="Times New Roman" w:cs="Times New Roman"/>
          <w:sz w:val="21"/>
          <w:szCs w:val="21"/>
        </w:rPr>
      </w:pPr>
    </w:p>
    <w:p w14:paraId="0DD4643E">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就我方全部所知，兹证明上述声明是真实、正确的，并已提供了全部现有资料和数据，我方同意根据贵方要求出示文件予以证实。</w:t>
      </w:r>
    </w:p>
    <w:p w14:paraId="16D3FAEF">
      <w:pPr>
        <w:spacing w:line="360" w:lineRule="auto"/>
        <w:ind w:left="420"/>
        <w:rPr>
          <w:rFonts w:ascii="Times New Roman" w:hAnsi="Times New Roman" w:cs="Times New Roman"/>
          <w:sz w:val="21"/>
          <w:szCs w:val="21"/>
        </w:rPr>
      </w:pPr>
    </w:p>
    <w:p w14:paraId="3FA480D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263208EC">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3D221775">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1464138D">
      <w:pPr>
        <w:spacing w:line="360" w:lineRule="auto"/>
        <w:ind w:left="420"/>
        <w:rPr>
          <w:rFonts w:ascii="Times New Roman" w:hAnsi="Times New Roman" w:cs="Times New Roman"/>
          <w:sz w:val="21"/>
          <w:szCs w:val="21"/>
        </w:rPr>
      </w:pPr>
    </w:p>
    <w:p w14:paraId="074284ED">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3B6A642D">
      <w:pPr>
        <w:pStyle w:val="63"/>
        <w:tabs>
          <w:tab w:val="left" w:pos="851"/>
        </w:tabs>
        <w:spacing w:line="360" w:lineRule="auto"/>
        <w:ind w:firstLine="0" w:firstLineChars="0"/>
        <w:jc w:val="both"/>
        <w:rPr>
          <w:rFonts w:ascii="Times New Roman" w:hAnsi="Times New Roman" w:cs="Times New Roman"/>
          <w:b/>
          <w:szCs w:val="21"/>
        </w:rPr>
      </w:pPr>
      <w:bookmarkStart w:id="1950" w:name="_Toc535397830"/>
      <w:bookmarkStart w:id="1951" w:name="_Toc15386349"/>
      <w:bookmarkStart w:id="1952" w:name="_Toc13225582"/>
      <w:bookmarkStart w:id="1953" w:name="_Toc407613408"/>
      <w:bookmarkStart w:id="1954" w:name="_Toc406596024"/>
      <w:bookmarkStart w:id="1955" w:name="_Toc134729026"/>
      <w:bookmarkStart w:id="1956" w:name="_Toc164420913"/>
    </w:p>
    <w:p w14:paraId="79FE71DA">
      <w:pPr>
        <w:pStyle w:val="63"/>
        <w:numPr>
          <w:ilvl w:val="1"/>
          <w:numId w:val="21"/>
        </w:numPr>
        <w:tabs>
          <w:tab w:val="left" w:pos="851"/>
        </w:tabs>
        <w:spacing w:line="360" w:lineRule="auto"/>
        <w:ind w:left="851" w:hanging="851" w:firstLineChars="0"/>
        <w:jc w:val="center"/>
        <w:outlineLvl w:val="0"/>
        <w:rPr>
          <w:rFonts w:ascii="Times New Roman" w:hAnsi="Times New Roman" w:cs="Times New Roman"/>
          <w:b/>
          <w:szCs w:val="21"/>
        </w:rPr>
      </w:pPr>
      <w:bookmarkStart w:id="1957" w:name="_Toc31219"/>
      <w:bookmarkStart w:id="1958" w:name="_Toc21926"/>
      <w:r>
        <w:rPr>
          <w:rFonts w:ascii="Times New Roman" w:hAnsi="Times New Roman" w:cs="Times New Roman"/>
          <w:b/>
          <w:szCs w:val="21"/>
        </w:rPr>
        <w:t>声明</w:t>
      </w:r>
      <w:bookmarkEnd w:id="1950"/>
      <w:bookmarkEnd w:id="1951"/>
      <w:bookmarkEnd w:id="1952"/>
      <w:bookmarkEnd w:id="1953"/>
      <w:bookmarkEnd w:id="1954"/>
      <w:bookmarkEnd w:id="1955"/>
      <w:bookmarkEnd w:id="1956"/>
      <w:bookmarkEnd w:id="1957"/>
      <w:bookmarkEnd w:id="1958"/>
    </w:p>
    <w:p w14:paraId="6B8D59F9">
      <w:pPr>
        <w:spacing w:line="360" w:lineRule="auto"/>
        <w:ind w:left="420"/>
        <w:rPr>
          <w:rFonts w:ascii="Times New Roman" w:hAnsi="Times New Roman" w:cs="Times New Roman"/>
          <w:szCs w:val="21"/>
        </w:rPr>
      </w:pPr>
    </w:p>
    <w:p w14:paraId="381FFF76">
      <w:pPr>
        <w:spacing w:line="360" w:lineRule="auto"/>
        <w:ind w:left="420"/>
        <w:rPr>
          <w:rFonts w:ascii="Times New Roman" w:hAnsi="Times New Roman" w:cs="Times New Roman"/>
          <w:sz w:val="21"/>
          <w:szCs w:val="21"/>
        </w:rPr>
      </w:pPr>
      <w:r>
        <w:rPr>
          <w:rFonts w:ascii="Times New Roman" w:hAnsi="Times New Roman" w:cs="Times New Roman"/>
          <w:sz w:val="21"/>
          <w:szCs w:val="21"/>
        </w:rPr>
        <w:t>声明内容：</w:t>
      </w:r>
    </w:p>
    <w:p w14:paraId="49810D8B">
      <w:pPr>
        <w:numPr>
          <w:ilvl w:val="0"/>
          <w:numId w:val="25"/>
        </w:numPr>
        <w:spacing w:line="360" w:lineRule="auto"/>
        <w:ind w:left="1276"/>
        <w:rPr>
          <w:rFonts w:ascii="Times New Roman" w:hAnsi="Times New Roman" w:cs="Times New Roman"/>
          <w:sz w:val="21"/>
          <w:szCs w:val="21"/>
        </w:rPr>
      </w:pPr>
      <w:r>
        <w:rPr>
          <w:rFonts w:ascii="Times New Roman" w:hAnsi="Times New Roman" w:cs="Times New Roman"/>
          <w:sz w:val="21"/>
          <w:szCs w:val="21"/>
        </w:rPr>
        <w:t>近三年无处于被责令停业、财产被接管、冻结、破产状态的声明</w:t>
      </w:r>
    </w:p>
    <w:p w14:paraId="34B4834C">
      <w:pPr>
        <w:numPr>
          <w:ilvl w:val="0"/>
          <w:numId w:val="25"/>
        </w:numPr>
        <w:spacing w:line="360" w:lineRule="auto"/>
        <w:ind w:left="1276"/>
        <w:rPr>
          <w:rFonts w:ascii="Times New Roman" w:hAnsi="Times New Roman" w:cs="Times New Roman"/>
          <w:sz w:val="21"/>
          <w:szCs w:val="21"/>
        </w:rPr>
      </w:pPr>
      <w:r>
        <w:rPr>
          <w:rFonts w:ascii="Times New Roman" w:hAnsi="Times New Roman" w:cs="Times New Roman"/>
          <w:sz w:val="21"/>
          <w:szCs w:val="21"/>
        </w:rPr>
        <w:t>近三年在经营活动中没有重大违法记录的声明</w:t>
      </w:r>
    </w:p>
    <w:p w14:paraId="3F1F1471">
      <w:pPr>
        <w:spacing w:line="360" w:lineRule="auto"/>
        <w:ind w:left="420"/>
        <w:rPr>
          <w:rFonts w:ascii="Times New Roman" w:hAnsi="Times New Roman" w:cs="Times New Roman"/>
          <w:sz w:val="21"/>
          <w:szCs w:val="21"/>
        </w:rPr>
      </w:pPr>
    </w:p>
    <w:p w14:paraId="7BAC7DC3">
      <w:pPr>
        <w:spacing w:line="360" w:lineRule="auto"/>
        <w:ind w:left="420"/>
        <w:rPr>
          <w:rFonts w:ascii="Times New Roman" w:hAnsi="Times New Roman" w:cs="Times New Roman"/>
          <w:szCs w:val="21"/>
        </w:rPr>
      </w:pPr>
      <w:r>
        <w:rPr>
          <w:rFonts w:ascii="Times New Roman" w:hAnsi="Times New Roman" w:cs="Times New Roman"/>
          <w:sz w:val="21"/>
          <w:szCs w:val="21"/>
        </w:rPr>
        <w:t>注：声明函必须加盖公章，格式自拟。</w:t>
      </w:r>
    </w:p>
    <w:p w14:paraId="4901C471">
      <w:pPr>
        <w:spacing w:line="360" w:lineRule="auto"/>
        <w:ind w:left="420"/>
        <w:rPr>
          <w:rFonts w:ascii="Times New Roman" w:hAnsi="Times New Roman" w:cs="Times New Roman"/>
          <w:szCs w:val="21"/>
        </w:rPr>
      </w:pPr>
    </w:p>
    <w:p w14:paraId="2B385263">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606DDB0A">
      <w:pPr>
        <w:pStyle w:val="63"/>
        <w:tabs>
          <w:tab w:val="left" w:pos="1276"/>
        </w:tabs>
        <w:spacing w:line="360" w:lineRule="auto"/>
        <w:ind w:firstLine="0" w:firstLineChars="0"/>
        <w:rPr>
          <w:rFonts w:ascii="Times New Roman" w:hAnsi="Times New Roman" w:cs="Times New Roman"/>
          <w:b/>
        </w:rPr>
      </w:pPr>
    </w:p>
    <w:p w14:paraId="7FB8F2A1">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59" w:name="_Toc18642"/>
      <w:r>
        <w:rPr>
          <w:rFonts w:ascii="Times New Roman" w:hAnsi="Times New Roman" w:cs="Times New Roman"/>
          <w:b/>
        </w:rPr>
        <w:t>法定代表人授权书</w:t>
      </w:r>
      <w:bookmarkEnd w:id="1959"/>
    </w:p>
    <w:p w14:paraId="41777E9A">
      <w:pPr>
        <w:spacing w:line="360" w:lineRule="auto"/>
        <w:ind w:left="420"/>
        <w:rPr>
          <w:rFonts w:ascii="Times New Roman" w:hAnsi="Times New Roman" w:cs="Times New Roman"/>
          <w:szCs w:val="21"/>
        </w:rPr>
      </w:pPr>
    </w:p>
    <w:p w14:paraId="59D8E662">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本授权委托书声明：我</w:t>
      </w:r>
      <w:r>
        <w:rPr>
          <w:rFonts w:ascii="Times New Roman" w:hAnsi="Times New Roman" w:cs="Times New Roman"/>
          <w:sz w:val="21"/>
          <w:szCs w:val="21"/>
          <w:u w:val="single"/>
        </w:rPr>
        <w:t xml:space="preserve"> （法定代表人姓名） </w:t>
      </w:r>
      <w:r>
        <w:rPr>
          <w:rFonts w:ascii="Times New Roman" w:hAnsi="Times New Roman" w:cs="Times New Roman"/>
          <w:sz w:val="21"/>
          <w:szCs w:val="21"/>
        </w:rPr>
        <w:t>系注册于</w:t>
      </w:r>
      <w:r>
        <w:rPr>
          <w:rFonts w:ascii="Times New Roman" w:hAnsi="Times New Roman" w:cs="Times New Roman"/>
          <w:sz w:val="21"/>
          <w:szCs w:val="21"/>
          <w:u w:val="single"/>
        </w:rPr>
        <w:t xml:space="preserve"> （投标人地址） </w:t>
      </w:r>
      <w:r>
        <w:rPr>
          <w:rFonts w:ascii="Times New Roman" w:hAnsi="Times New Roman" w:cs="Times New Roman"/>
          <w:sz w:val="21"/>
          <w:szCs w:val="21"/>
        </w:rPr>
        <w:t>的</w:t>
      </w:r>
      <w:r>
        <w:rPr>
          <w:rFonts w:ascii="Times New Roman" w:hAnsi="Times New Roman" w:cs="Times New Roman"/>
          <w:sz w:val="21"/>
          <w:szCs w:val="21"/>
          <w:u w:val="single"/>
        </w:rPr>
        <w:t xml:space="preserve"> （投标人名称） </w:t>
      </w:r>
      <w:r>
        <w:rPr>
          <w:rFonts w:ascii="Times New Roman" w:hAnsi="Times New Roman" w:cs="Times New Roman"/>
          <w:sz w:val="21"/>
          <w:szCs w:val="21"/>
        </w:rPr>
        <w:t>的法定代表人/负责人，现代表公司授权下面签字的</w:t>
      </w:r>
      <w:r>
        <w:rPr>
          <w:rFonts w:ascii="Times New Roman" w:hAnsi="Times New Roman" w:cs="Times New Roman"/>
          <w:sz w:val="21"/>
          <w:szCs w:val="21"/>
          <w:u w:val="single"/>
        </w:rPr>
        <w:t xml:space="preserve"> （被授权人的姓名、职务） </w:t>
      </w:r>
      <w:r>
        <w:rPr>
          <w:rFonts w:ascii="Times New Roman" w:hAnsi="Times New Roman" w:cs="Times New Roman"/>
          <w:sz w:val="21"/>
          <w:szCs w:val="21"/>
        </w:rPr>
        <w:t>为我公司合法代理人，代表本公司参加</w:t>
      </w:r>
      <w:r>
        <w:rPr>
          <w:rFonts w:ascii="Times New Roman" w:hAnsi="Times New Roman" w:cs="Times New Roman"/>
          <w:sz w:val="21"/>
          <w:szCs w:val="21"/>
          <w:u w:val="single"/>
        </w:rPr>
        <w:t>（项目名称）</w:t>
      </w:r>
      <w:r>
        <w:rPr>
          <w:rFonts w:ascii="Times New Roman" w:hAnsi="Times New Roman" w:cs="Times New Roman"/>
          <w:sz w:val="21"/>
          <w:szCs w:val="21"/>
        </w:rPr>
        <w:t>招标编号为</w:t>
      </w:r>
      <w:r>
        <w:rPr>
          <w:rFonts w:ascii="Times New Roman" w:hAnsi="Times New Roman" w:cs="Times New Roman"/>
          <w:sz w:val="21"/>
          <w:szCs w:val="21"/>
          <w:u w:val="single"/>
        </w:rPr>
        <w:t xml:space="preserve">             </w:t>
      </w:r>
      <w:r>
        <w:rPr>
          <w:rFonts w:ascii="Times New Roman" w:hAnsi="Times New Roman" w:cs="Times New Roman"/>
          <w:sz w:val="21"/>
          <w:szCs w:val="21"/>
        </w:rPr>
        <w:t>的投标活动。代理人在本次投标中所签署的一切文件和处理的一切有关事物，我公司均予承认。</w:t>
      </w:r>
    </w:p>
    <w:p w14:paraId="286C89E8">
      <w:pPr>
        <w:spacing w:line="360" w:lineRule="auto"/>
        <w:ind w:left="420" w:firstLine="420" w:firstLineChars="200"/>
        <w:rPr>
          <w:rFonts w:ascii="Times New Roman" w:hAnsi="Times New Roman" w:cs="Times New Roman"/>
          <w:sz w:val="21"/>
          <w:szCs w:val="21"/>
        </w:rPr>
      </w:pPr>
    </w:p>
    <w:p w14:paraId="46B7FD8B">
      <w:pPr>
        <w:spacing w:line="420" w:lineRule="atLeast"/>
        <w:ind w:firstLine="840" w:firstLineChars="400"/>
        <w:rPr>
          <w:rFonts w:ascii="Times New Roman" w:hAnsi="Times New Roman" w:cs="Times New Roman"/>
          <w:sz w:val="21"/>
          <w:szCs w:val="21"/>
        </w:rPr>
      </w:pPr>
      <w:r>
        <w:rPr>
          <w:rFonts w:ascii="Times New Roman" w:hAnsi="Times New Roman" w:cs="Times New Roman"/>
          <w:sz w:val="21"/>
          <w:szCs w:val="21"/>
        </w:rPr>
        <w:t>本授权书于</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日签字生效，特此声明。</w:t>
      </w:r>
    </w:p>
    <w:p w14:paraId="2DAC37BB">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后附被授权人身份证复印件。</w:t>
      </w:r>
    </w:p>
    <w:p w14:paraId="5A167E76">
      <w:pPr>
        <w:spacing w:line="360" w:lineRule="auto"/>
        <w:ind w:left="420"/>
        <w:rPr>
          <w:rFonts w:ascii="Times New Roman" w:hAnsi="Times New Roman" w:cs="Times New Roman"/>
          <w:sz w:val="21"/>
          <w:szCs w:val="21"/>
        </w:rPr>
      </w:pPr>
    </w:p>
    <w:p w14:paraId="58E6BF6A">
      <w:pPr>
        <w:spacing w:line="360" w:lineRule="auto"/>
        <w:ind w:left="420"/>
        <w:rPr>
          <w:rFonts w:ascii="Times New Roman" w:hAnsi="Times New Roman" w:cs="Times New Roman"/>
          <w:sz w:val="21"/>
          <w:szCs w:val="21"/>
        </w:rPr>
      </w:pPr>
    </w:p>
    <w:p w14:paraId="396D2F7C">
      <w:pPr>
        <w:spacing w:line="360" w:lineRule="auto"/>
        <w:ind w:left="420"/>
        <w:rPr>
          <w:rFonts w:ascii="Times New Roman" w:hAnsi="Times New Roman" w:cs="Times New Roman"/>
          <w:sz w:val="21"/>
          <w:szCs w:val="21"/>
        </w:rPr>
      </w:pPr>
    </w:p>
    <w:p w14:paraId="4102A413">
      <w:pPr>
        <w:spacing w:line="360" w:lineRule="auto"/>
        <w:ind w:firstLine="420" w:firstLineChars="200"/>
        <w:rPr>
          <w:rFonts w:ascii="Times New Roman" w:hAnsi="Times New Roman" w:cs="Times New Roman"/>
          <w:sz w:val="21"/>
          <w:szCs w:val="21"/>
          <w:u w:val="single"/>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49D7440E">
      <w:pPr>
        <w:spacing w:line="360" w:lineRule="auto"/>
        <w:ind w:firstLine="420" w:firstLineChars="200"/>
        <w:rPr>
          <w:rFonts w:ascii="Times New Roman" w:hAnsi="Times New Roman" w:cs="Times New Roman"/>
          <w:sz w:val="21"/>
          <w:szCs w:val="21"/>
          <w:u w:val="single"/>
        </w:rPr>
      </w:pPr>
      <w:r>
        <w:rPr>
          <w:rFonts w:ascii="Times New Roman" w:hAnsi="Times New Roman" w:cs="Times New Roman"/>
          <w:sz w:val="21"/>
          <w:szCs w:val="21"/>
        </w:rPr>
        <w:t>法定代表人签字：</w:t>
      </w:r>
      <w:r>
        <w:rPr>
          <w:rFonts w:ascii="Times New Roman" w:hAnsi="Times New Roman" w:cs="Times New Roman"/>
          <w:sz w:val="21"/>
          <w:szCs w:val="21"/>
          <w:u w:val="single"/>
        </w:rPr>
        <w:t xml:space="preserve">                       </w:t>
      </w:r>
    </w:p>
    <w:p w14:paraId="4A815687">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代理人（被授权人）签字：</w:t>
      </w:r>
      <w:r>
        <w:rPr>
          <w:rFonts w:ascii="Times New Roman" w:hAnsi="Times New Roman" w:cs="Times New Roman"/>
          <w:sz w:val="21"/>
          <w:szCs w:val="21"/>
          <w:u w:val="single"/>
        </w:rPr>
        <w:t xml:space="preserve">               </w:t>
      </w:r>
    </w:p>
    <w:p w14:paraId="7F5B05FB">
      <w:pPr>
        <w:spacing w:line="360" w:lineRule="auto"/>
        <w:ind w:left="42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46701C2A">
      <w:pPr>
        <w:spacing w:line="360" w:lineRule="auto"/>
        <w:ind w:left="420"/>
        <w:rPr>
          <w:rFonts w:ascii="Times New Roman" w:hAnsi="Times New Roman" w:cs="Times New Roman"/>
          <w:sz w:val="21"/>
          <w:szCs w:val="21"/>
        </w:rPr>
      </w:pPr>
    </w:p>
    <w:p w14:paraId="27B96F98">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7089A043">
      <w:pPr>
        <w:pStyle w:val="63"/>
        <w:tabs>
          <w:tab w:val="left" w:pos="1276"/>
        </w:tabs>
        <w:spacing w:line="360" w:lineRule="auto"/>
        <w:ind w:firstLine="0" w:firstLineChars="0"/>
        <w:rPr>
          <w:rFonts w:ascii="Times New Roman" w:hAnsi="Times New Roman" w:cs="Times New Roman"/>
          <w:b/>
        </w:rPr>
      </w:pPr>
    </w:p>
    <w:p w14:paraId="1025AEA6">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60" w:name="_Toc21749"/>
      <w:r>
        <w:rPr>
          <w:rFonts w:ascii="Times New Roman" w:hAnsi="Times New Roman" w:cs="Times New Roman"/>
          <w:b/>
        </w:rPr>
        <w:t>投标人基本情况表</w:t>
      </w:r>
      <w:bookmarkEnd w:id="1960"/>
    </w:p>
    <w:p w14:paraId="5DCE704D">
      <w:pPr>
        <w:spacing w:line="360" w:lineRule="auto"/>
        <w:ind w:left="420"/>
        <w:rPr>
          <w:rFonts w:ascii="Times New Roman" w:hAnsi="Times New Roman" w:cs="Times New Roman"/>
          <w:sz w:val="21"/>
          <w:szCs w:val="21"/>
        </w:rPr>
      </w:pPr>
    </w:p>
    <w:tbl>
      <w:tblPr>
        <w:tblStyle w:val="31"/>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3886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EA4F82C">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单位名称</w:t>
            </w:r>
          </w:p>
        </w:tc>
        <w:tc>
          <w:tcPr>
            <w:tcW w:w="2019" w:type="dxa"/>
            <w:vAlign w:val="center"/>
          </w:tcPr>
          <w:p w14:paraId="7CB42E6F">
            <w:pPr>
              <w:spacing w:line="360" w:lineRule="auto"/>
              <w:jc w:val="center"/>
              <w:rPr>
                <w:rFonts w:ascii="Times New Roman" w:hAnsi="Times New Roman" w:cs="Times New Roman"/>
                <w:sz w:val="21"/>
                <w:szCs w:val="21"/>
              </w:rPr>
            </w:pPr>
          </w:p>
        </w:tc>
        <w:tc>
          <w:tcPr>
            <w:tcW w:w="2032" w:type="dxa"/>
            <w:vAlign w:val="center"/>
          </w:tcPr>
          <w:p w14:paraId="18AB9840">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法定代表人</w:t>
            </w:r>
          </w:p>
        </w:tc>
        <w:tc>
          <w:tcPr>
            <w:tcW w:w="2020" w:type="dxa"/>
            <w:vAlign w:val="center"/>
          </w:tcPr>
          <w:p w14:paraId="5D83A6C7">
            <w:pPr>
              <w:spacing w:line="360" w:lineRule="auto"/>
              <w:jc w:val="center"/>
              <w:rPr>
                <w:rFonts w:ascii="Times New Roman" w:hAnsi="Times New Roman" w:cs="Times New Roman"/>
                <w:sz w:val="21"/>
                <w:szCs w:val="21"/>
              </w:rPr>
            </w:pPr>
          </w:p>
        </w:tc>
      </w:tr>
      <w:tr w14:paraId="752F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9BCDB4A">
            <w:pPr>
              <w:spacing w:line="360" w:lineRule="auto"/>
              <w:jc w:val="center"/>
              <w:rPr>
                <w:rFonts w:ascii="Times New Roman" w:hAnsi="Times New Roman" w:cs="Times New Roman"/>
                <w:sz w:val="21"/>
                <w:szCs w:val="21"/>
                <w:lang w:val="zh-CN"/>
              </w:rPr>
            </w:pPr>
            <w:r>
              <w:rPr>
                <w:rFonts w:ascii="Times New Roman" w:hAnsi="Times New Roman" w:cs="Times New Roman"/>
                <w:sz w:val="21"/>
                <w:szCs w:val="21"/>
                <w:lang w:val="zh-CN"/>
              </w:rPr>
              <w:t>注册资金</w:t>
            </w:r>
          </w:p>
        </w:tc>
        <w:tc>
          <w:tcPr>
            <w:tcW w:w="2019" w:type="dxa"/>
            <w:vAlign w:val="center"/>
          </w:tcPr>
          <w:p w14:paraId="7C3417F3">
            <w:pPr>
              <w:spacing w:line="360" w:lineRule="auto"/>
              <w:jc w:val="center"/>
              <w:rPr>
                <w:rFonts w:ascii="Times New Roman" w:hAnsi="Times New Roman" w:cs="Times New Roman"/>
                <w:sz w:val="21"/>
                <w:szCs w:val="21"/>
              </w:rPr>
            </w:pPr>
          </w:p>
        </w:tc>
        <w:tc>
          <w:tcPr>
            <w:tcW w:w="2032" w:type="dxa"/>
            <w:vAlign w:val="center"/>
          </w:tcPr>
          <w:p w14:paraId="351E9FED">
            <w:pPr>
              <w:spacing w:line="360" w:lineRule="auto"/>
              <w:jc w:val="center"/>
              <w:rPr>
                <w:rFonts w:ascii="Times New Roman" w:hAnsi="Times New Roman" w:cs="Times New Roman"/>
                <w:sz w:val="21"/>
                <w:szCs w:val="21"/>
                <w:lang w:val="zh-CN"/>
              </w:rPr>
            </w:pPr>
            <w:r>
              <w:rPr>
                <w:rFonts w:ascii="Times New Roman" w:hAnsi="Times New Roman" w:cs="Times New Roman"/>
                <w:sz w:val="21"/>
                <w:szCs w:val="21"/>
                <w:lang w:val="zh-CN"/>
              </w:rPr>
              <w:t>成立时间</w:t>
            </w:r>
          </w:p>
        </w:tc>
        <w:tc>
          <w:tcPr>
            <w:tcW w:w="2020" w:type="dxa"/>
            <w:vAlign w:val="center"/>
          </w:tcPr>
          <w:p w14:paraId="05E7C312">
            <w:pPr>
              <w:spacing w:line="360" w:lineRule="auto"/>
              <w:jc w:val="center"/>
              <w:rPr>
                <w:rFonts w:ascii="Times New Roman" w:hAnsi="Times New Roman" w:cs="Times New Roman"/>
                <w:sz w:val="21"/>
                <w:szCs w:val="21"/>
              </w:rPr>
            </w:pPr>
          </w:p>
        </w:tc>
      </w:tr>
      <w:tr w14:paraId="36FE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C1D37A2">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项目负责人</w:t>
            </w:r>
          </w:p>
        </w:tc>
        <w:tc>
          <w:tcPr>
            <w:tcW w:w="2019" w:type="dxa"/>
            <w:vAlign w:val="center"/>
          </w:tcPr>
          <w:p w14:paraId="4232FA35">
            <w:pPr>
              <w:spacing w:line="360" w:lineRule="auto"/>
              <w:jc w:val="center"/>
              <w:rPr>
                <w:rFonts w:ascii="Times New Roman" w:hAnsi="Times New Roman" w:cs="Times New Roman"/>
                <w:sz w:val="21"/>
                <w:szCs w:val="21"/>
              </w:rPr>
            </w:pPr>
          </w:p>
        </w:tc>
        <w:tc>
          <w:tcPr>
            <w:tcW w:w="2032" w:type="dxa"/>
            <w:vAlign w:val="center"/>
          </w:tcPr>
          <w:p w14:paraId="3EEAD3CE">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联系电话</w:t>
            </w:r>
          </w:p>
        </w:tc>
        <w:tc>
          <w:tcPr>
            <w:tcW w:w="2020" w:type="dxa"/>
            <w:vAlign w:val="center"/>
          </w:tcPr>
          <w:p w14:paraId="32F09B79">
            <w:pPr>
              <w:spacing w:line="360" w:lineRule="auto"/>
              <w:jc w:val="center"/>
              <w:rPr>
                <w:rFonts w:ascii="Times New Roman" w:hAnsi="Times New Roman" w:cs="Times New Roman"/>
                <w:sz w:val="21"/>
                <w:szCs w:val="21"/>
              </w:rPr>
            </w:pPr>
          </w:p>
        </w:tc>
      </w:tr>
      <w:tr w14:paraId="387B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3110F8F">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单位地址</w:t>
            </w:r>
          </w:p>
        </w:tc>
        <w:tc>
          <w:tcPr>
            <w:tcW w:w="6071" w:type="dxa"/>
            <w:gridSpan w:val="3"/>
            <w:vAlign w:val="center"/>
          </w:tcPr>
          <w:p w14:paraId="511F1C1E">
            <w:pPr>
              <w:spacing w:line="360" w:lineRule="auto"/>
              <w:jc w:val="center"/>
              <w:rPr>
                <w:rFonts w:ascii="Times New Roman" w:hAnsi="Times New Roman" w:cs="Times New Roman"/>
                <w:sz w:val="21"/>
                <w:szCs w:val="21"/>
              </w:rPr>
            </w:pPr>
          </w:p>
        </w:tc>
      </w:tr>
      <w:tr w14:paraId="2166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5EA7C714">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经营范围</w:t>
            </w:r>
          </w:p>
        </w:tc>
        <w:tc>
          <w:tcPr>
            <w:tcW w:w="6071" w:type="dxa"/>
            <w:gridSpan w:val="3"/>
            <w:vAlign w:val="center"/>
          </w:tcPr>
          <w:p w14:paraId="77781DF8">
            <w:pPr>
              <w:spacing w:line="360" w:lineRule="auto"/>
              <w:jc w:val="center"/>
              <w:rPr>
                <w:rFonts w:ascii="Times New Roman" w:hAnsi="Times New Roman" w:cs="Times New Roman"/>
                <w:sz w:val="21"/>
                <w:szCs w:val="21"/>
              </w:rPr>
            </w:pPr>
          </w:p>
        </w:tc>
      </w:tr>
      <w:tr w14:paraId="7C97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75CCA8D">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开户银行</w:t>
            </w:r>
          </w:p>
        </w:tc>
        <w:tc>
          <w:tcPr>
            <w:tcW w:w="2019" w:type="dxa"/>
            <w:vAlign w:val="center"/>
          </w:tcPr>
          <w:p w14:paraId="799B9759">
            <w:pPr>
              <w:spacing w:line="360" w:lineRule="auto"/>
              <w:jc w:val="center"/>
              <w:rPr>
                <w:rFonts w:ascii="Times New Roman" w:hAnsi="Times New Roman" w:cs="Times New Roman"/>
                <w:sz w:val="21"/>
                <w:szCs w:val="21"/>
              </w:rPr>
            </w:pPr>
          </w:p>
        </w:tc>
        <w:tc>
          <w:tcPr>
            <w:tcW w:w="2032" w:type="dxa"/>
            <w:vAlign w:val="center"/>
          </w:tcPr>
          <w:p w14:paraId="5EA2F3AE">
            <w:pPr>
              <w:spacing w:line="360" w:lineRule="auto"/>
              <w:jc w:val="center"/>
              <w:rPr>
                <w:rFonts w:ascii="Times New Roman" w:hAnsi="Times New Roman" w:cs="Times New Roman"/>
                <w:sz w:val="21"/>
                <w:szCs w:val="21"/>
              </w:rPr>
            </w:pPr>
            <w:r>
              <w:rPr>
                <w:rFonts w:ascii="Times New Roman" w:hAnsi="Times New Roman" w:cs="Times New Roman"/>
                <w:sz w:val="21"/>
                <w:szCs w:val="21"/>
              </w:rPr>
              <w:t>银行账户</w:t>
            </w:r>
          </w:p>
        </w:tc>
        <w:tc>
          <w:tcPr>
            <w:tcW w:w="2020" w:type="dxa"/>
            <w:vAlign w:val="center"/>
          </w:tcPr>
          <w:p w14:paraId="4EB49EEC">
            <w:pPr>
              <w:spacing w:line="360" w:lineRule="auto"/>
              <w:jc w:val="center"/>
              <w:rPr>
                <w:rFonts w:ascii="Times New Roman" w:hAnsi="Times New Roman" w:cs="Times New Roman"/>
                <w:sz w:val="21"/>
                <w:szCs w:val="21"/>
              </w:rPr>
            </w:pPr>
          </w:p>
        </w:tc>
      </w:tr>
      <w:tr w14:paraId="2618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64E7EE5">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联系人</w:t>
            </w:r>
          </w:p>
        </w:tc>
        <w:tc>
          <w:tcPr>
            <w:tcW w:w="2019" w:type="dxa"/>
            <w:vAlign w:val="center"/>
          </w:tcPr>
          <w:p w14:paraId="42EC928D">
            <w:pPr>
              <w:spacing w:line="360" w:lineRule="auto"/>
              <w:jc w:val="center"/>
              <w:rPr>
                <w:rFonts w:ascii="Times New Roman" w:hAnsi="Times New Roman" w:cs="Times New Roman"/>
                <w:sz w:val="21"/>
                <w:szCs w:val="21"/>
              </w:rPr>
            </w:pPr>
          </w:p>
        </w:tc>
        <w:tc>
          <w:tcPr>
            <w:tcW w:w="2032" w:type="dxa"/>
            <w:vAlign w:val="center"/>
          </w:tcPr>
          <w:p w14:paraId="728F4E8C">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联系电话</w:t>
            </w:r>
          </w:p>
        </w:tc>
        <w:tc>
          <w:tcPr>
            <w:tcW w:w="2020" w:type="dxa"/>
            <w:vAlign w:val="center"/>
          </w:tcPr>
          <w:p w14:paraId="35D09756">
            <w:pPr>
              <w:spacing w:line="360" w:lineRule="auto"/>
              <w:jc w:val="center"/>
              <w:rPr>
                <w:rFonts w:ascii="Times New Roman" w:hAnsi="Times New Roman" w:cs="Times New Roman"/>
                <w:sz w:val="21"/>
                <w:szCs w:val="21"/>
              </w:rPr>
            </w:pPr>
          </w:p>
        </w:tc>
      </w:tr>
      <w:tr w14:paraId="0F51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2F6E5656">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基本情况</w:t>
            </w:r>
          </w:p>
        </w:tc>
        <w:tc>
          <w:tcPr>
            <w:tcW w:w="6071" w:type="dxa"/>
            <w:gridSpan w:val="3"/>
            <w:vAlign w:val="center"/>
          </w:tcPr>
          <w:p w14:paraId="5BDF165A">
            <w:pPr>
              <w:spacing w:line="360" w:lineRule="auto"/>
              <w:jc w:val="center"/>
              <w:rPr>
                <w:rFonts w:ascii="Times New Roman" w:hAnsi="Times New Roman" w:cs="Times New Roman"/>
                <w:sz w:val="21"/>
                <w:szCs w:val="21"/>
              </w:rPr>
            </w:pPr>
          </w:p>
        </w:tc>
      </w:tr>
    </w:tbl>
    <w:p w14:paraId="7B9545ED">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3320D89B">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7344997C">
      <w:pPr>
        <w:widowControl w:val="0"/>
        <w:spacing w:line="360" w:lineRule="auto"/>
        <w:ind w:left="420" w:right="-226" w:rightChars="-94"/>
        <w:jc w:val="both"/>
        <w:rPr>
          <w:rFonts w:ascii="Times New Roman" w:hAnsi="Times New Roman" w:cs="Times New Roman"/>
          <w:sz w:val="21"/>
          <w:szCs w:val="21"/>
        </w:rPr>
        <w:sectPr>
          <w:pgSz w:w="11906" w:h="16838"/>
          <w:pgMar w:top="1440" w:right="1800" w:bottom="1440" w:left="1800" w:header="851" w:footer="992" w:gutter="0"/>
          <w:cols w:space="720" w:num="1"/>
          <w:docGrid w:type="lines" w:linePitch="312" w:charSpace="0"/>
        </w:sect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79EF5F25">
      <w:pPr>
        <w:widowControl w:val="0"/>
        <w:spacing w:line="360" w:lineRule="auto"/>
        <w:ind w:left="420" w:right="-226" w:rightChars="-94"/>
        <w:jc w:val="both"/>
        <w:rPr>
          <w:rFonts w:hint="eastAsia" w:cs="Times New Roman"/>
          <w:kern w:val="2"/>
          <w:sz w:val="21"/>
          <w:szCs w:val="21"/>
        </w:rPr>
      </w:pPr>
    </w:p>
    <w:p w14:paraId="4DCB8D3E">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61" w:name="_Toc29449"/>
      <w:bookmarkStart w:id="1962" w:name="_Toc522635655"/>
      <w:r>
        <w:rPr>
          <w:rFonts w:ascii="Times New Roman" w:hAnsi="Times New Roman" w:cs="Times New Roman"/>
          <w:b/>
        </w:rPr>
        <w:t>业绩证明文件</w:t>
      </w:r>
      <w:bookmarkEnd w:id="1961"/>
      <w:bookmarkEnd w:id="1962"/>
    </w:p>
    <w:p w14:paraId="7909D0E1">
      <w:pPr>
        <w:widowControl w:val="0"/>
        <w:spacing w:line="360" w:lineRule="auto"/>
        <w:ind w:right="-65" w:rightChars="-27" w:firstLine="478" w:firstLineChars="228"/>
        <w:jc w:val="both"/>
        <w:rPr>
          <w:rFonts w:hint="eastAsia" w:cs="Times New Roman"/>
          <w:kern w:val="2"/>
          <w:sz w:val="21"/>
          <w:szCs w:val="21"/>
        </w:rPr>
      </w:pPr>
      <w:r>
        <w:rPr>
          <w:rFonts w:hint="eastAsia" w:cs="Times New Roman"/>
          <w:kern w:val="2"/>
          <w:sz w:val="21"/>
          <w:szCs w:val="21"/>
        </w:rPr>
        <w:t>包号：</w:t>
      </w:r>
    </w:p>
    <w:tbl>
      <w:tblPr>
        <w:tblStyle w:val="31"/>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2DF6BF2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37FCCB23">
            <w:pPr>
              <w:widowControl w:val="0"/>
              <w:jc w:val="center"/>
              <w:rPr>
                <w:rFonts w:hint="eastAsia" w:cs="Times New Roman"/>
                <w:kern w:val="2"/>
                <w:sz w:val="21"/>
              </w:rPr>
            </w:pPr>
            <w:r>
              <w:rPr>
                <w:rFonts w:cs="Times New Roman"/>
                <w:kern w:val="2"/>
                <w:sz w:val="21"/>
              </w:rPr>
              <w:t>序号</w:t>
            </w:r>
          </w:p>
        </w:tc>
        <w:tc>
          <w:tcPr>
            <w:tcW w:w="1432" w:type="dxa"/>
            <w:tcBorders>
              <w:top w:val="single" w:color="auto" w:sz="4" w:space="0"/>
            </w:tcBorders>
          </w:tcPr>
          <w:p w14:paraId="6C761DBE">
            <w:pPr>
              <w:widowControl w:val="0"/>
              <w:jc w:val="center"/>
              <w:rPr>
                <w:rFonts w:hint="eastAsia" w:cs="Times New Roman"/>
                <w:kern w:val="2"/>
                <w:sz w:val="21"/>
              </w:rPr>
            </w:pPr>
            <w:r>
              <w:rPr>
                <w:rFonts w:cs="Times New Roman"/>
                <w:kern w:val="2"/>
                <w:sz w:val="21"/>
              </w:rPr>
              <w:t>行业类型</w:t>
            </w:r>
          </w:p>
        </w:tc>
        <w:tc>
          <w:tcPr>
            <w:tcW w:w="1366" w:type="dxa"/>
            <w:tcBorders>
              <w:top w:val="single" w:color="auto" w:sz="4" w:space="0"/>
            </w:tcBorders>
          </w:tcPr>
          <w:p w14:paraId="1E59BE9B">
            <w:pPr>
              <w:widowControl w:val="0"/>
              <w:jc w:val="center"/>
              <w:rPr>
                <w:rFonts w:hint="eastAsia" w:cs="Times New Roman"/>
                <w:kern w:val="2"/>
                <w:sz w:val="21"/>
              </w:rPr>
            </w:pPr>
            <w:r>
              <w:rPr>
                <w:rFonts w:cs="Times New Roman"/>
                <w:kern w:val="2"/>
                <w:sz w:val="21"/>
              </w:rPr>
              <w:t>项目名称</w:t>
            </w:r>
          </w:p>
        </w:tc>
        <w:tc>
          <w:tcPr>
            <w:tcW w:w="1507" w:type="dxa"/>
            <w:tcBorders>
              <w:top w:val="single" w:color="auto" w:sz="4" w:space="0"/>
            </w:tcBorders>
          </w:tcPr>
          <w:p w14:paraId="1A2A5CAB">
            <w:pPr>
              <w:widowControl w:val="0"/>
              <w:jc w:val="center"/>
              <w:rPr>
                <w:rFonts w:hint="eastAsia" w:cs="Times New Roman"/>
                <w:kern w:val="2"/>
                <w:sz w:val="21"/>
              </w:rPr>
            </w:pPr>
            <w:r>
              <w:rPr>
                <w:rFonts w:cs="Times New Roman"/>
                <w:kern w:val="2"/>
                <w:sz w:val="21"/>
              </w:rPr>
              <w:t>起止时间</w:t>
            </w:r>
          </w:p>
        </w:tc>
        <w:tc>
          <w:tcPr>
            <w:tcW w:w="1373" w:type="dxa"/>
            <w:tcBorders>
              <w:top w:val="single" w:color="auto" w:sz="4" w:space="0"/>
            </w:tcBorders>
          </w:tcPr>
          <w:p w14:paraId="7F64AD1D">
            <w:pPr>
              <w:widowControl w:val="0"/>
              <w:jc w:val="center"/>
              <w:rPr>
                <w:rFonts w:hint="eastAsia" w:cs="Times New Roman"/>
                <w:kern w:val="2"/>
                <w:sz w:val="21"/>
              </w:rPr>
            </w:pPr>
            <w:r>
              <w:rPr>
                <w:rFonts w:cs="Times New Roman"/>
                <w:kern w:val="2"/>
                <w:sz w:val="21"/>
              </w:rPr>
              <w:t>业务描述</w:t>
            </w:r>
          </w:p>
        </w:tc>
        <w:tc>
          <w:tcPr>
            <w:tcW w:w="1063" w:type="dxa"/>
            <w:tcBorders>
              <w:top w:val="single" w:color="auto" w:sz="4" w:space="0"/>
            </w:tcBorders>
          </w:tcPr>
          <w:p w14:paraId="085E72E8">
            <w:pPr>
              <w:widowControl w:val="0"/>
              <w:jc w:val="center"/>
              <w:rPr>
                <w:rFonts w:hint="eastAsia" w:cs="Times New Roman"/>
                <w:kern w:val="2"/>
                <w:sz w:val="21"/>
              </w:rPr>
            </w:pPr>
            <w:r>
              <w:rPr>
                <w:rFonts w:cs="Times New Roman"/>
                <w:kern w:val="2"/>
                <w:sz w:val="21"/>
              </w:rPr>
              <w:t>备注</w:t>
            </w:r>
          </w:p>
        </w:tc>
      </w:tr>
      <w:tr w14:paraId="404CE10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9AC874F">
            <w:pPr>
              <w:widowControl w:val="0"/>
              <w:jc w:val="center"/>
              <w:rPr>
                <w:rFonts w:hint="eastAsia" w:cs="Times New Roman"/>
                <w:kern w:val="2"/>
                <w:sz w:val="21"/>
              </w:rPr>
            </w:pPr>
            <w:r>
              <w:rPr>
                <w:rFonts w:cs="Times New Roman"/>
                <w:kern w:val="2"/>
                <w:sz w:val="21"/>
              </w:rPr>
              <w:t>1</w:t>
            </w:r>
          </w:p>
        </w:tc>
        <w:tc>
          <w:tcPr>
            <w:tcW w:w="1432" w:type="dxa"/>
          </w:tcPr>
          <w:p w14:paraId="7C1BD7FA">
            <w:pPr>
              <w:widowControl w:val="0"/>
              <w:jc w:val="both"/>
              <w:rPr>
                <w:rFonts w:hint="eastAsia" w:cs="Times New Roman"/>
                <w:kern w:val="2"/>
                <w:sz w:val="21"/>
              </w:rPr>
            </w:pPr>
          </w:p>
        </w:tc>
        <w:tc>
          <w:tcPr>
            <w:tcW w:w="1366" w:type="dxa"/>
          </w:tcPr>
          <w:p w14:paraId="41489DDB">
            <w:pPr>
              <w:widowControl w:val="0"/>
              <w:jc w:val="both"/>
              <w:rPr>
                <w:rFonts w:hint="eastAsia" w:cs="Times New Roman"/>
                <w:kern w:val="2"/>
                <w:sz w:val="21"/>
              </w:rPr>
            </w:pPr>
          </w:p>
        </w:tc>
        <w:tc>
          <w:tcPr>
            <w:tcW w:w="1507" w:type="dxa"/>
          </w:tcPr>
          <w:p w14:paraId="3BEB05C2">
            <w:pPr>
              <w:widowControl w:val="0"/>
              <w:jc w:val="both"/>
              <w:rPr>
                <w:rFonts w:hint="eastAsia" w:cs="Times New Roman"/>
                <w:kern w:val="2"/>
                <w:sz w:val="21"/>
              </w:rPr>
            </w:pPr>
          </w:p>
        </w:tc>
        <w:tc>
          <w:tcPr>
            <w:tcW w:w="1373" w:type="dxa"/>
          </w:tcPr>
          <w:p w14:paraId="19D045DB">
            <w:pPr>
              <w:widowControl w:val="0"/>
              <w:jc w:val="both"/>
              <w:rPr>
                <w:rFonts w:hint="eastAsia" w:cs="Times New Roman"/>
                <w:kern w:val="2"/>
                <w:sz w:val="21"/>
              </w:rPr>
            </w:pPr>
          </w:p>
        </w:tc>
        <w:tc>
          <w:tcPr>
            <w:tcW w:w="1063" w:type="dxa"/>
          </w:tcPr>
          <w:p w14:paraId="14F5DED5">
            <w:pPr>
              <w:widowControl w:val="0"/>
              <w:jc w:val="both"/>
              <w:rPr>
                <w:rFonts w:hint="eastAsia" w:cs="Times New Roman"/>
                <w:kern w:val="2"/>
                <w:sz w:val="21"/>
              </w:rPr>
            </w:pPr>
          </w:p>
        </w:tc>
      </w:tr>
      <w:tr w14:paraId="6C1CA1A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9706163">
            <w:pPr>
              <w:widowControl w:val="0"/>
              <w:jc w:val="center"/>
              <w:rPr>
                <w:rFonts w:hint="eastAsia" w:cs="Times New Roman"/>
                <w:kern w:val="2"/>
                <w:sz w:val="21"/>
              </w:rPr>
            </w:pPr>
            <w:r>
              <w:rPr>
                <w:rFonts w:cs="Times New Roman"/>
                <w:kern w:val="2"/>
                <w:sz w:val="21"/>
              </w:rPr>
              <w:t>2</w:t>
            </w:r>
          </w:p>
        </w:tc>
        <w:tc>
          <w:tcPr>
            <w:tcW w:w="1432" w:type="dxa"/>
          </w:tcPr>
          <w:p w14:paraId="3BE90E7D">
            <w:pPr>
              <w:widowControl w:val="0"/>
              <w:jc w:val="both"/>
              <w:rPr>
                <w:rFonts w:hint="eastAsia" w:cs="Times New Roman"/>
                <w:kern w:val="2"/>
                <w:sz w:val="21"/>
              </w:rPr>
            </w:pPr>
          </w:p>
        </w:tc>
        <w:tc>
          <w:tcPr>
            <w:tcW w:w="1366" w:type="dxa"/>
          </w:tcPr>
          <w:p w14:paraId="3B4BFFDB">
            <w:pPr>
              <w:widowControl w:val="0"/>
              <w:jc w:val="both"/>
              <w:rPr>
                <w:rFonts w:hint="eastAsia" w:cs="Times New Roman"/>
                <w:kern w:val="2"/>
                <w:sz w:val="21"/>
              </w:rPr>
            </w:pPr>
          </w:p>
        </w:tc>
        <w:tc>
          <w:tcPr>
            <w:tcW w:w="1507" w:type="dxa"/>
          </w:tcPr>
          <w:p w14:paraId="75722589">
            <w:pPr>
              <w:widowControl w:val="0"/>
              <w:jc w:val="both"/>
              <w:rPr>
                <w:rFonts w:hint="eastAsia" w:cs="Times New Roman"/>
                <w:kern w:val="2"/>
                <w:sz w:val="21"/>
              </w:rPr>
            </w:pPr>
          </w:p>
        </w:tc>
        <w:tc>
          <w:tcPr>
            <w:tcW w:w="1373" w:type="dxa"/>
          </w:tcPr>
          <w:p w14:paraId="4FC20697">
            <w:pPr>
              <w:widowControl w:val="0"/>
              <w:jc w:val="both"/>
              <w:rPr>
                <w:rFonts w:hint="eastAsia" w:cs="Times New Roman"/>
                <w:kern w:val="2"/>
                <w:sz w:val="21"/>
              </w:rPr>
            </w:pPr>
          </w:p>
        </w:tc>
        <w:tc>
          <w:tcPr>
            <w:tcW w:w="1063" w:type="dxa"/>
          </w:tcPr>
          <w:p w14:paraId="190E6DFA">
            <w:pPr>
              <w:widowControl w:val="0"/>
              <w:jc w:val="both"/>
              <w:rPr>
                <w:rFonts w:hint="eastAsia" w:cs="Times New Roman"/>
                <w:kern w:val="2"/>
                <w:sz w:val="21"/>
              </w:rPr>
            </w:pPr>
          </w:p>
        </w:tc>
      </w:tr>
      <w:tr w14:paraId="7768302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A1153E6">
            <w:pPr>
              <w:widowControl w:val="0"/>
              <w:jc w:val="center"/>
              <w:rPr>
                <w:rFonts w:hint="eastAsia" w:cs="Times New Roman"/>
                <w:kern w:val="2"/>
                <w:sz w:val="21"/>
              </w:rPr>
            </w:pPr>
            <w:r>
              <w:rPr>
                <w:rFonts w:cs="Times New Roman"/>
                <w:kern w:val="2"/>
                <w:sz w:val="21"/>
              </w:rPr>
              <w:t>3</w:t>
            </w:r>
          </w:p>
        </w:tc>
        <w:tc>
          <w:tcPr>
            <w:tcW w:w="1432" w:type="dxa"/>
          </w:tcPr>
          <w:p w14:paraId="5F270E04">
            <w:pPr>
              <w:widowControl w:val="0"/>
              <w:jc w:val="both"/>
              <w:rPr>
                <w:rFonts w:hint="eastAsia" w:cs="Times New Roman"/>
                <w:kern w:val="2"/>
                <w:sz w:val="21"/>
              </w:rPr>
            </w:pPr>
          </w:p>
        </w:tc>
        <w:tc>
          <w:tcPr>
            <w:tcW w:w="1366" w:type="dxa"/>
          </w:tcPr>
          <w:p w14:paraId="7D1391B2">
            <w:pPr>
              <w:widowControl w:val="0"/>
              <w:jc w:val="both"/>
              <w:rPr>
                <w:rFonts w:hint="eastAsia" w:cs="Times New Roman"/>
                <w:kern w:val="2"/>
                <w:sz w:val="21"/>
              </w:rPr>
            </w:pPr>
          </w:p>
        </w:tc>
        <w:tc>
          <w:tcPr>
            <w:tcW w:w="1507" w:type="dxa"/>
          </w:tcPr>
          <w:p w14:paraId="1BC511D5">
            <w:pPr>
              <w:widowControl w:val="0"/>
              <w:jc w:val="both"/>
              <w:rPr>
                <w:rFonts w:hint="eastAsia" w:cs="Times New Roman"/>
                <w:kern w:val="2"/>
                <w:sz w:val="21"/>
              </w:rPr>
            </w:pPr>
          </w:p>
        </w:tc>
        <w:tc>
          <w:tcPr>
            <w:tcW w:w="1373" w:type="dxa"/>
          </w:tcPr>
          <w:p w14:paraId="3572C88B">
            <w:pPr>
              <w:widowControl w:val="0"/>
              <w:jc w:val="both"/>
              <w:rPr>
                <w:rFonts w:hint="eastAsia" w:cs="Times New Roman"/>
                <w:kern w:val="2"/>
                <w:sz w:val="21"/>
              </w:rPr>
            </w:pPr>
          </w:p>
        </w:tc>
        <w:tc>
          <w:tcPr>
            <w:tcW w:w="1063" w:type="dxa"/>
          </w:tcPr>
          <w:p w14:paraId="1F674EB7">
            <w:pPr>
              <w:widowControl w:val="0"/>
              <w:jc w:val="both"/>
              <w:rPr>
                <w:rFonts w:hint="eastAsia" w:cs="Times New Roman"/>
                <w:kern w:val="2"/>
                <w:sz w:val="21"/>
              </w:rPr>
            </w:pPr>
          </w:p>
        </w:tc>
      </w:tr>
      <w:tr w14:paraId="0BFF16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2E94CCC">
            <w:pPr>
              <w:widowControl w:val="0"/>
              <w:jc w:val="center"/>
              <w:rPr>
                <w:rFonts w:hint="eastAsia" w:cs="Times New Roman"/>
                <w:kern w:val="2"/>
                <w:sz w:val="21"/>
              </w:rPr>
            </w:pPr>
            <w:r>
              <w:rPr>
                <w:rFonts w:cs="Times New Roman"/>
                <w:kern w:val="2"/>
                <w:sz w:val="21"/>
              </w:rPr>
              <w:t>4</w:t>
            </w:r>
          </w:p>
        </w:tc>
        <w:tc>
          <w:tcPr>
            <w:tcW w:w="1432" w:type="dxa"/>
          </w:tcPr>
          <w:p w14:paraId="1DA4EAF4">
            <w:pPr>
              <w:widowControl w:val="0"/>
              <w:jc w:val="both"/>
              <w:rPr>
                <w:rFonts w:hint="eastAsia" w:cs="Times New Roman"/>
                <w:kern w:val="2"/>
                <w:sz w:val="21"/>
              </w:rPr>
            </w:pPr>
          </w:p>
        </w:tc>
        <w:tc>
          <w:tcPr>
            <w:tcW w:w="1366" w:type="dxa"/>
          </w:tcPr>
          <w:p w14:paraId="70D34C2F">
            <w:pPr>
              <w:widowControl w:val="0"/>
              <w:jc w:val="both"/>
              <w:rPr>
                <w:rFonts w:hint="eastAsia" w:cs="Times New Roman"/>
                <w:kern w:val="2"/>
                <w:sz w:val="21"/>
              </w:rPr>
            </w:pPr>
          </w:p>
        </w:tc>
        <w:tc>
          <w:tcPr>
            <w:tcW w:w="1507" w:type="dxa"/>
          </w:tcPr>
          <w:p w14:paraId="2491DCF3">
            <w:pPr>
              <w:widowControl w:val="0"/>
              <w:jc w:val="both"/>
              <w:rPr>
                <w:rFonts w:hint="eastAsia" w:cs="Times New Roman"/>
                <w:kern w:val="2"/>
                <w:sz w:val="21"/>
              </w:rPr>
            </w:pPr>
          </w:p>
        </w:tc>
        <w:tc>
          <w:tcPr>
            <w:tcW w:w="1373" w:type="dxa"/>
          </w:tcPr>
          <w:p w14:paraId="4BDFE6F8">
            <w:pPr>
              <w:widowControl w:val="0"/>
              <w:jc w:val="both"/>
              <w:rPr>
                <w:rFonts w:hint="eastAsia" w:cs="Times New Roman"/>
                <w:kern w:val="2"/>
                <w:sz w:val="21"/>
              </w:rPr>
            </w:pPr>
          </w:p>
        </w:tc>
        <w:tc>
          <w:tcPr>
            <w:tcW w:w="1063" w:type="dxa"/>
          </w:tcPr>
          <w:p w14:paraId="657E6E31">
            <w:pPr>
              <w:widowControl w:val="0"/>
              <w:jc w:val="both"/>
              <w:rPr>
                <w:rFonts w:hint="eastAsia" w:cs="Times New Roman"/>
                <w:kern w:val="2"/>
                <w:sz w:val="21"/>
              </w:rPr>
            </w:pPr>
          </w:p>
        </w:tc>
      </w:tr>
      <w:tr w14:paraId="2477355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4E9052E">
            <w:pPr>
              <w:widowControl w:val="0"/>
              <w:jc w:val="center"/>
              <w:rPr>
                <w:rFonts w:hint="eastAsia" w:cs="Times New Roman"/>
                <w:kern w:val="2"/>
                <w:sz w:val="21"/>
              </w:rPr>
            </w:pPr>
            <w:r>
              <w:rPr>
                <w:rFonts w:cs="Times New Roman"/>
                <w:kern w:val="2"/>
                <w:sz w:val="21"/>
              </w:rPr>
              <w:t>5</w:t>
            </w:r>
          </w:p>
        </w:tc>
        <w:tc>
          <w:tcPr>
            <w:tcW w:w="1432" w:type="dxa"/>
          </w:tcPr>
          <w:p w14:paraId="754F1C81">
            <w:pPr>
              <w:widowControl w:val="0"/>
              <w:jc w:val="both"/>
              <w:rPr>
                <w:rFonts w:hint="eastAsia" w:cs="Times New Roman"/>
                <w:kern w:val="2"/>
                <w:sz w:val="21"/>
              </w:rPr>
            </w:pPr>
          </w:p>
        </w:tc>
        <w:tc>
          <w:tcPr>
            <w:tcW w:w="1366" w:type="dxa"/>
          </w:tcPr>
          <w:p w14:paraId="4130F332">
            <w:pPr>
              <w:widowControl w:val="0"/>
              <w:jc w:val="both"/>
              <w:rPr>
                <w:rFonts w:hint="eastAsia" w:cs="Times New Roman"/>
                <w:kern w:val="2"/>
                <w:sz w:val="21"/>
              </w:rPr>
            </w:pPr>
          </w:p>
        </w:tc>
        <w:tc>
          <w:tcPr>
            <w:tcW w:w="1507" w:type="dxa"/>
          </w:tcPr>
          <w:p w14:paraId="1D8E8FA8">
            <w:pPr>
              <w:widowControl w:val="0"/>
              <w:jc w:val="both"/>
              <w:rPr>
                <w:rFonts w:hint="eastAsia" w:cs="Times New Roman"/>
                <w:kern w:val="2"/>
                <w:sz w:val="21"/>
              </w:rPr>
            </w:pPr>
          </w:p>
        </w:tc>
        <w:tc>
          <w:tcPr>
            <w:tcW w:w="1373" w:type="dxa"/>
          </w:tcPr>
          <w:p w14:paraId="4628FF71">
            <w:pPr>
              <w:widowControl w:val="0"/>
              <w:jc w:val="both"/>
              <w:rPr>
                <w:rFonts w:hint="eastAsia" w:cs="Times New Roman"/>
                <w:kern w:val="2"/>
                <w:sz w:val="21"/>
              </w:rPr>
            </w:pPr>
          </w:p>
        </w:tc>
        <w:tc>
          <w:tcPr>
            <w:tcW w:w="1063" w:type="dxa"/>
          </w:tcPr>
          <w:p w14:paraId="047F9D0B">
            <w:pPr>
              <w:widowControl w:val="0"/>
              <w:jc w:val="both"/>
              <w:rPr>
                <w:rFonts w:hint="eastAsia" w:cs="Times New Roman"/>
                <w:kern w:val="2"/>
                <w:sz w:val="21"/>
              </w:rPr>
            </w:pPr>
          </w:p>
        </w:tc>
      </w:tr>
      <w:tr w14:paraId="12BB8EC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870DA0D">
            <w:pPr>
              <w:widowControl w:val="0"/>
              <w:jc w:val="center"/>
              <w:rPr>
                <w:rFonts w:hint="eastAsia" w:cs="Times New Roman"/>
                <w:kern w:val="2"/>
                <w:sz w:val="21"/>
              </w:rPr>
            </w:pPr>
            <w:r>
              <w:rPr>
                <w:rFonts w:cs="Times New Roman"/>
                <w:kern w:val="2"/>
                <w:sz w:val="21"/>
              </w:rPr>
              <w:t>6</w:t>
            </w:r>
          </w:p>
        </w:tc>
        <w:tc>
          <w:tcPr>
            <w:tcW w:w="1432" w:type="dxa"/>
          </w:tcPr>
          <w:p w14:paraId="6FA1B404">
            <w:pPr>
              <w:widowControl w:val="0"/>
              <w:jc w:val="both"/>
              <w:rPr>
                <w:rFonts w:hint="eastAsia" w:cs="Times New Roman"/>
                <w:kern w:val="2"/>
                <w:sz w:val="21"/>
              </w:rPr>
            </w:pPr>
          </w:p>
        </w:tc>
        <w:tc>
          <w:tcPr>
            <w:tcW w:w="1366" w:type="dxa"/>
          </w:tcPr>
          <w:p w14:paraId="29AFE4BA">
            <w:pPr>
              <w:widowControl w:val="0"/>
              <w:jc w:val="both"/>
              <w:rPr>
                <w:rFonts w:hint="eastAsia" w:cs="Times New Roman"/>
                <w:kern w:val="2"/>
                <w:sz w:val="21"/>
              </w:rPr>
            </w:pPr>
          </w:p>
        </w:tc>
        <w:tc>
          <w:tcPr>
            <w:tcW w:w="1507" w:type="dxa"/>
          </w:tcPr>
          <w:p w14:paraId="53342BCE">
            <w:pPr>
              <w:widowControl w:val="0"/>
              <w:jc w:val="both"/>
              <w:rPr>
                <w:rFonts w:hint="eastAsia" w:cs="Times New Roman"/>
                <w:kern w:val="2"/>
                <w:sz w:val="21"/>
              </w:rPr>
            </w:pPr>
          </w:p>
        </w:tc>
        <w:tc>
          <w:tcPr>
            <w:tcW w:w="1373" w:type="dxa"/>
          </w:tcPr>
          <w:p w14:paraId="742F4859">
            <w:pPr>
              <w:widowControl w:val="0"/>
              <w:jc w:val="both"/>
              <w:rPr>
                <w:rFonts w:hint="eastAsia" w:cs="Times New Roman"/>
                <w:kern w:val="2"/>
                <w:sz w:val="21"/>
              </w:rPr>
            </w:pPr>
          </w:p>
        </w:tc>
        <w:tc>
          <w:tcPr>
            <w:tcW w:w="1063" w:type="dxa"/>
          </w:tcPr>
          <w:p w14:paraId="4075A74A">
            <w:pPr>
              <w:widowControl w:val="0"/>
              <w:jc w:val="both"/>
              <w:rPr>
                <w:rFonts w:hint="eastAsia" w:cs="Times New Roman"/>
                <w:kern w:val="2"/>
                <w:sz w:val="21"/>
              </w:rPr>
            </w:pPr>
          </w:p>
        </w:tc>
      </w:tr>
      <w:tr w14:paraId="6D9248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36AEA33">
            <w:pPr>
              <w:widowControl w:val="0"/>
              <w:jc w:val="center"/>
              <w:rPr>
                <w:rFonts w:hint="eastAsia" w:cs="Times New Roman"/>
                <w:kern w:val="2"/>
                <w:sz w:val="21"/>
              </w:rPr>
            </w:pPr>
            <w:r>
              <w:rPr>
                <w:rFonts w:cs="Times New Roman"/>
                <w:kern w:val="2"/>
                <w:sz w:val="21"/>
              </w:rPr>
              <w:t>7</w:t>
            </w:r>
          </w:p>
        </w:tc>
        <w:tc>
          <w:tcPr>
            <w:tcW w:w="1432" w:type="dxa"/>
          </w:tcPr>
          <w:p w14:paraId="36697386">
            <w:pPr>
              <w:widowControl w:val="0"/>
              <w:jc w:val="both"/>
              <w:rPr>
                <w:rFonts w:hint="eastAsia" w:cs="Times New Roman"/>
                <w:kern w:val="2"/>
                <w:sz w:val="21"/>
              </w:rPr>
            </w:pPr>
          </w:p>
        </w:tc>
        <w:tc>
          <w:tcPr>
            <w:tcW w:w="1366" w:type="dxa"/>
          </w:tcPr>
          <w:p w14:paraId="0FCE3E0C">
            <w:pPr>
              <w:widowControl w:val="0"/>
              <w:jc w:val="both"/>
              <w:rPr>
                <w:rFonts w:hint="eastAsia" w:cs="Times New Roman"/>
                <w:kern w:val="2"/>
                <w:sz w:val="21"/>
              </w:rPr>
            </w:pPr>
          </w:p>
        </w:tc>
        <w:tc>
          <w:tcPr>
            <w:tcW w:w="1507" w:type="dxa"/>
          </w:tcPr>
          <w:p w14:paraId="4831083F">
            <w:pPr>
              <w:widowControl w:val="0"/>
              <w:jc w:val="both"/>
              <w:rPr>
                <w:rFonts w:hint="eastAsia" w:cs="Times New Roman"/>
                <w:kern w:val="2"/>
                <w:sz w:val="21"/>
              </w:rPr>
            </w:pPr>
          </w:p>
        </w:tc>
        <w:tc>
          <w:tcPr>
            <w:tcW w:w="1373" w:type="dxa"/>
          </w:tcPr>
          <w:p w14:paraId="66D3B29A">
            <w:pPr>
              <w:widowControl w:val="0"/>
              <w:jc w:val="both"/>
              <w:rPr>
                <w:rFonts w:hint="eastAsia" w:cs="Times New Roman"/>
                <w:kern w:val="2"/>
                <w:sz w:val="21"/>
              </w:rPr>
            </w:pPr>
          </w:p>
        </w:tc>
        <w:tc>
          <w:tcPr>
            <w:tcW w:w="1063" w:type="dxa"/>
          </w:tcPr>
          <w:p w14:paraId="0A859C73">
            <w:pPr>
              <w:widowControl w:val="0"/>
              <w:jc w:val="both"/>
              <w:rPr>
                <w:rFonts w:hint="eastAsia" w:cs="Times New Roman"/>
                <w:kern w:val="2"/>
                <w:sz w:val="21"/>
              </w:rPr>
            </w:pPr>
          </w:p>
        </w:tc>
      </w:tr>
      <w:tr w14:paraId="2D1AA25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DB87908">
            <w:pPr>
              <w:widowControl w:val="0"/>
              <w:jc w:val="center"/>
              <w:rPr>
                <w:rFonts w:hint="eastAsia" w:cs="Times New Roman"/>
                <w:kern w:val="2"/>
                <w:sz w:val="21"/>
              </w:rPr>
            </w:pPr>
            <w:r>
              <w:rPr>
                <w:rFonts w:cs="Times New Roman"/>
                <w:kern w:val="2"/>
                <w:sz w:val="21"/>
              </w:rPr>
              <w:t>8</w:t>
            </w:r>
          </w:p>
        </w:tc>
        <w:tc>
          <w:tcPr>
            <w:tcW w:w="1432" w:type="dxa"/>
          </w:tcPr>
          <w:p w14:paraId="4B2277EE">
            <w:pPr>
              <w:widowControl w:val="0"/>
              <w:jc w:val="both"/>
              <w:rPr>
                <w:rFonts w:hint="eastAsia" w:cs="Times New Roman"/>
                <w:kern w:val="2"/>
                <w:sz w:val="21"/>
              </w:rPr>
            </w:pPr>
          </w:p>
        </w:tc>
        <w:tc>
          <w:tcPr>
            <w:tcW w:w="1366" w:type="dxa"/>
          </w:tcPr>
          <w:p w14:paraId="0B8B8965">
            <w:pPr>
              <w:widowControl w:val="0"/>
              <w:jc w:val="both"/>
              <w:rPr>
                <w:rFonts w:hint="eastAsia" w:cs="Times New Roman"/>
                <w:kern w:val="2"/>
                <w:sz w:val="21"/>
              </w:rPr>
            </w:pPr>
          </w:p>
        </w:tc>
        <w:tc>
          <w:tcPr>
            <w:tcW w:w="1507" w:type="dxa"/>
          </w:tcPr>
          <w:p w14:paraId="38FDD336">
            <w:pPr>
              <w:widowControl w:val="0"/>
              <w:jc w:val="both"/>
              <w:rPr>
                <w:rFonts w:hint="eastAsia" w:cs="Times New Roman"/>
                <w:kern w:val="2"/>
                <w:sz w:val="21"/>
              </w:rPr>
            </w:pPr>
          </w:p>
        </w:tc>
        <w:tc>
          <w:tcPr>
            <w:tcW w:w="1373" w:type="dxa"/>
          </w:tcPr>
          <w:p w14:paraId="28227ACE">
            <w:pPr>
              <w:widowControl w:val="0"/>
              <w:jc w:val="both"/>
              <w:rPr>
                <w:rFonts w:hint="eastAsia" w:cs="Times New Roman"/>
                <w:kern w:val="2"/>
                <w:sz w:val="21"/>
              </w:rPr>
            </w:pPr>
          </w:p>
        </w:tc>
        <w:tc>
          <w:tcPr>
            <w:tcW w:w="1063" w:type="dxa"/>
          </w:tcPr>
          <w:p w14:paraId="2EA670BC">
            <w:pPr>
              <w:widowControl w:val="0"/>
              <w:jc w:val="both"/>
              <w:rPr>
                <w:rFonts w:hint="eastAsia" w:cs="Times New Roman"/>
                <w:kern w:val="2"/>
                <w:sz w:val="21"/>
              </w:rPr>
            </w:pPr>
          </w:p>
        </w:tc>
      </w:tr>
      <w:tr w14:paraId="4BB25D9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5703FE1">
            <w:pPr>
              <w:widowControl w:val="0"/>
              <w:jc w:val="center"/>
              <w:rPr>
                <w:rFonts w:hint="eastAsia" w:cs="Times New Roman"/>
                <w:kern w:val="2"/>
                <w:sz w:val="21"/>
              </w:rPr>
            </w:pPr>
            <w:r>
              <w:rPr>
                <w:rFonts w:cs="Times New Roman"/>
                <w:kern w:val="2"/>
                <w:sz w:val="21"/>
              </w:rPr>
              <w:t>……</w:t>
            </w:r>
          </w:p>
        </w:tc>
        <w:tc>
          <w:tcPr>
            <w:tcW w:w="1432" w:type="dxa"/>
          </w:tcPr>
          <w:p w14:paraId="20BD73B8">
            <w:pPr>
              <w:widowControl w:val="0"/>
              <w:jc w:val="both"/>
              <w:rPr>
                <w:rFonts w:hint="eastAsia" w:cs="Times New Roman"/>
                <w:kern w:val="2"/>
                <w:sz w:val="21"/>
              </w:rPr>
            </w:pPr>
          </w:p>
        </w:tc>
        <w:tc>
          <w:tcPr>
            <w:tcW w:w="1366" w:type="dxa"/>
          </w:tcPr>
          <w:p w14:paraId="78A7AE01">
            <w:pPr>
              <w:widowControl w:val="0"/>
              <w:jc w:val="both"/>
              <w:rPr>
                <w:rFonts w:hint="eastAsia" w:cs="Times New Roman"/>
                <w:kern w:val="2"/>
                <w:sz w:val="21"/>
              </w:rPr>
            </w:pPr>
          </w:p>
        </w:tc>
        <w:tc>
          <w:tcPr>
            <w:tcW w:w="1507" w:type="dxa"/>
          </w:tcPr>
          <w:p w14:paraId="2341B961">
            <w:pPr>
              <w:widowControl w:val="0"/>
              <w:jc w:val="both"/>
              <w:rPr>
                <w:rFonts w:hint="eastAsia" w:cs="Times New Roman"/>
                <w:kern w:val="2"/>
                <w:sz w:val="21"/>
              </w:rPr>
            </w:pPr>
          </w:p>
        </w:tc>
        <w:tc>
          <w:tcPr>
            <w:tcW w:w="1373" w:type="dxa"/>
          </w:tcPr>
          <w:p w14:paraId="379CC108">
            <w:pPr>
              <w:widowControl w:val="0"/>
              <w:jc w:val="both"/>
              <w:rPr>
                <w:rFonts w:hint="eastAsia" w:cs="Times New Roman"/>
                <w:kern w:val="2"/>
                <w:sz w:val="21"/>
              </w:rPr>
            </w:pPr>
          </w:p>
        </w:tc>
        <w:tc>
          <w:tcPr>
            <w:tcW w:w="1063" w:type="dxa"/>
          </w:tcPr>
          <w:p w14:paraId="71131DEE">
            <w:pPr>
              <w:widowControl w:val="0"/>
              <w:jc w:val="both"/>
              <w:rPr>
                <w:rFonts w:hint="eastAsia" w:cs="Times New Roman"/>
                <w:kern w:val="2"/>
                <w:sz w:val="21"/>
              </w:rPr>
            </w:pPr>
          </w:p>
        </w:tc>
      </w:tr>
      <w:tr w14:paraId="382E16D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1F5C1BF4">
            <w:pPr>
              <w:widowControl w:val="0"/>
              <w:jc w:val="center"/>
              <w:rPr>
                <w:rFonts w:hint="eastAsia" w:cs="Times New Roman"/>
                <w:kern w:val="2"/>
                <w:sz w:val="21"/>
              </w:rPr>
            </w:pPr>
          </w:p>
        </w:tc>
        <w:tc>
          <w:tcPr>
            <w:tcW w:w="1432" w:type="dxa"/>
            <w:tcBorders>
              <w:bottom w:val="single" w:color="auto" w:sz="4" w:space="0"/>
            </w:tcBorders>
          </w:tcPr>
          <w:p w14:paraId="1C698B59">
            <w:pPr>
              <w:widowControl w:val="0"/>
              <w:jc w:val="both"/>
              <w:rPr>
                <w:rFonts w:hint="eastAsia" w:cs="Times New Roman"/>
                <w:kern w:val="2"/>
                <w:sz w:val="21"/>
              </w:rPr>
            </w:pPr>
          </w:p>
        </w:tc>
        <w:tc>
          <w:tcPr>
            <w:tcW w:w="1366" w:type="dxa"/>
            <w:tcBorders>
              <w:bottom w:val="single" w:color="auto" w:sz="4" w:space="0"/>
            </w:tcBorders>
          </w:tcPr>
          <w:p w14:paraId="6672D96E">
            <w:pPr>
              <w:widowControl w:val="0"/>
              <w:jc w:val="both"/>
              <w:rPr>
                <w:rFonts w:hint="eastAsia" w:cs="Times New Roman"/>
                <w:kern w:val="2"/>
                <w:sz w:val="21"/>
              </w:rPr>
            </w:pPr>
          </w:p>
        </w:tc>
        <w:tc>
          <w:tcPr>
            <w:tcW w:w="1507" w:type="dxa"/>
            <w:tcBorders>
              <w:bottom w:val="single" w:color="auto" w:sz="4" w:space="0"/>
            </w:tcBorders>
          </w:tcPr>
          <w:p w14:paraId="35E64705">
            <w:pPr>
              <w:widowControl w:val="0"/>
              <w:jc w:val="both"/>
              <w:rPr>
                <w:rFonts w:hint="eastAsia" w:cs="Times New Roman"/>
                <w:kern w:val="2"/>
                <w:sz w:val="21"/>
              </w:rPr>
            </w:pPr>
          </w:p>
        </w:tc>
        <w:tc>
          <w:tcPr>
            <w:tcW w:w="1373" w:type="dxa"/>
            <w:tcBorders>
              <w:bottom w:val="single" w:color="auto" w:sz="4" w:space="0"/>
            </w:tcBorders>
          </w:tcPr>
          <w:p w14:paraId="4677A417">
            <w:pPr>
              <w:widowControl w:val="0"/>
              <w:jc w:val="both"/>
              <w:rPr>
                <w:rFonts w:hint="eastAsia" w:cs="Times New Roman"/>
                <w:kern w:val="2"/>
                <w:sz w:val="21"/>
              </w:rPr>
            </w:pPr>
          </w:p>
        </w:tc>
        <w:tc>
          <w:tcPr>
            <w:tcW w:w="1063" w:type="dxa"/>
            <w:tcBorders>
              <w:bottom w:val="single" w:color="auto" w:sz="4" w:space="0"/>
            </w:tcBorders>
          </w:tcPr>
          <w:p w14:paraId="30B5A127">
            <w:pPr>
              <w:widowControl w:val="0"/>
              <w:jc w:val="both"/>
              <w:rPr>
                <w:rFonts w:hint="eastAsia" w:cs="Times New Roman"/>
                <w:kern w:val="2"/>
                <w:sz w:val="21"/>
              </w:rPr>
            </w:pPr>
          </w:p>
        </w:tc>
      </w:tr>
    </w:tbl>
    <w:p w14:paraId="435678D4">
      <w:pPr>
        <w:spacing w:line="360" w:lineRule="auto"/>
        <w:rPr>
          <w:rFonts w:hint="eastAsia" w:cs="Times New Roman"/>
          <w:kern w:val="2"/>
          <w:sz w:val="21"/>
          <w:szCs w:val="21"/>
        </w:rPr>
      </w:pPr>
    </w:p>
    <w:p w14:paraId="56B6CEDA">
      <w:pPr>
        <w:widowControl w:val="0"/>
        <w:spacing w:line="360" w:lineRule="auto"/>
        <w:ind w:right="-65" w:rightChars="-27"/>
        <w:rPr>
          <w:rFonts w:hint="eastAsia" w:cs="Times New Roman"/>
          <w:kern w:val="2"/>
          <w:sz w:val="21"/>
          <w:szCs w:val="21"/>
          <w:lang w:val="zh-CN"/>
        </w:rPr>
      </w:pPr>
    </w:p>
    <w:p w14:paraId="792D98F6">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733FDB2B">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01781D4C">
      <w:pPr>
        <w:widowControl w:val="0"/>
        <w:spacing w:line="360" w:lineRule="auto"/>
        <w:ind w:firstLine="420" w:firstLineChars="200"/>
        <w:jc w:val="both"/>
        <w:rPr>
          <w:rFonts w:hint="eastAsia" w:cs="Times New Roman"/>
          <w:kern w:val="2"/>
          <w:sz w:val="21"/>
          <w:szCs w:val="21"/>
          <w:u w:val="single"/>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630F2A21">
      <w:pPr>
        <w:spacing w:line="360" w:lineRule="auto"/>
        <w:ind w:left="420"/>
        <w:rPr>
          <w:rFonts w:ascii="Times New Roman" w:hAnsi="Times New Roman" w:cs="Times New Roman"/>
          <w:szCs w:val="21"/>
        </w:rPr>
        <w:sectPr>
          <w:pgSz w:w="11906" w:h="16838"/>
          <w:pgMar w:top="1440" w:right="1800" w:bottom="1440" w:left="1800" w:header="851" w:footer="992" w:gutter="0"/>
          <w:cols w:space="720" w:num="1"/>
          <w:docGrid w:type="lines" w:linePitch="312" w:charSpace="0"/>
        </w:sectPr>
      </w:pPr>
    </w:p>
    <w:p w14:paraId="39684B67">
      <w:pPr>
        <w:widowControl w:val="0"/>
        <w:tabs>
          <w:tab w:val="left" w:pos="1276"/>
        </w:tabs>
        <w:spacing w:line="360" w:lineRule="auto"/>
        <w:ind w:right="-65" w:rightChars="-27"/>
        <w:jc w:val="both"/>
        <w:rPr>
          <w:rFonts w:ascii="Times New Roman" w:hAnsi="Times New Roman" w:cs="Times New Roman"/>
          <w:b/>
          <w:kern w:val="2"/>
        </w:rPr>
      </w:pPr>
    </w:p>
    <w:p w14:paraId="7BEF20A9">
      <w:pPr>
        <w:widowControl w:val="0"/>
        <w:numPr>
          <w:ilvl w:val="0"/>
          <w:numId w:val="21"/>
        </w:numPr>
        <w:tabs>
          <w:tab w:val="left" w:pos="1276"/>
        </w:tabs>
        <w:spacing w:line="360" w:lineRule="auto"/>
        <w:ind w:right="-65" w:rightChars="-27"/>
        <w:jc w:val="both"/>
        <w:outlineLvl w:val="0"/>
        <w:rPr>
          <w:rFonts w:ascii="Times New Roman" w:hAnsi="Times New Roman" w:cs="Times New Roman"/>
          <w:b/>
          <w:kern w:val="2"/>
        </w:rPr>
      </w:pPr>
      <w:bookmarkStart w:id="1963" w:name="_Toc14084"/>
      <w:r>
        <w:rPr>
          <w:rFonts w:hint="eastAsia"/>
          <w:b/>
        </w:rPr>
        <w:t>拟投入本项目全部团队成员明细表</w:t>
      </w:r>
      <w:bookmarkEnd w:id="1963"/>
    </w:p>
    <w:p w14:paraId="56BB7675">
      <w:pPr>
        <w:jc w:val="center"/>
        <w:rPr>
          <w:rFonts w:hint="eastAsia"/>
          <w:b/>
          <w:bCs/>
        </w:rPr>
      </w:pPr>
      <w:r>
        <w:rPr>
          <w:rFonts w:hint="eastAsia"/>
          <w:b/>
        </w:rPr>
        <w:t>拟投入本项目项目经理简历表</w:t>
      </w:r>
    </w:p>
    <w:p w14:paraId="55C3348E">
      <w:pPr>
        <w:ind w:firstLine="2409" w:firstLineChars="1000"/>
        <w:rPr>
          <w:rFonts w:hint="eastAsia"/>
          <w:b/>
          <w:bCs/>
        </w:rPr>
      </w:pPr>
      <w:r>
        <w:rPr>
          <w:rFonts w:hint="eastAsia"/>
          <w:b/>
          <w:bCs/>
        </w:rPr>
        <w:t>（可按下表分页进行表述）</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12"/>
        <w:gridCol w:w="1421"/>
        <w:gridCol w:w="1420"/>
        <w:gridCol w:w="1420"/>
        <w:gridCol w:w="1421"/>
      </w:tblGrid>
      <w:tr w14:paraId="3482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728" w:type="dxa"/>
            <w:vAlign w:val="center"/>
          </w:tcPr>
          <w:p w14:paraId="75A22122">
            <w:pPr>
              <w:spacing w:line="360" w:lineRule="auto"/>
              <w:jc w:val="center"/>
              <w:rPr>
                <w:rFonts w:hint="eastAsia"/>
              </w:rPr>
            </w:pPr>
            <w:r>
              <w:rPr>
                <w:rFonts w:hint="eastAsia"/>
              </w:rPr>
              <w:t>姓名</w:t>
            </w:r>
          </w:p>
        </w:tc>
        <w:tc>
          <w:tcPr>
            <w:tcW w:w="1112" w:type="dxa"/>
            <w:vAlign w:val="center"/>
          </w:tcPr>
          <w:p w14:paraId="3B0E4938">
            <w:pPr>
              <w:spacing w:line="360" w:lineRule="auto"/>
              <w:jc w:val="center"/>
              <w:rPr>
                <w:rFonts w:hint="eastAsia"/>
              </w:rPr>
            </w:pPr>
          </w:p>
        </w:tc>
        <w:tc>
          <w:tcPr>
            <w:tcW w:w="1421" w:type="dxa"/>
            <w:vAlign w:val="center"/>
          </w:tcPr>
          <w:p w14:paraId="5266ADAA">
            <w:pPr>
              <w:spacing w:line="360" w:lineRule="auto"/>
              <w:jc w:val="center"/>
              <w:rPr>
                <w:rFonts w:hint="eastAsia"/>
              </w:rPr>
            </w:pPr>
            <w:r>
              <w:rPr>
                <w:rFonts w:hint="eastAsia"/>
              </w:rPr>
              <w:t>性别</w:t>
            </w:r>
          </w:p>
        </w:tc>
        <w:tc>
          <w:tcPr>
            <w:tcW w:w="1420" w:type="dxa"/>
            <w:vAlign w:val="center"/>
          </w:tcPr>
          <w:p w14:paraId="009D5C93">
            <w:pPr>
              <w:spacing w:line="360" w:lineRule="auto"/>
              <w:jc w:val="center"/>
              <w:rPr>
                <w:rFonts w:hint="eastAsia"/>
              </w:rPr>
            </w:pPr>
          </w:p>
        </w:tc>
        <w:tc>
          <w:tcPr>
            <w:tcW w:w="1420" w:type="dxa"/>
            <w:vAlign w:val="center"/>
          </w:tcPr>
          <w:p w14:paraId="76D167C7">
            <w:pPr>
              <w:spacing w:line="360" w:lineRule="auto"/>
              <w:jc w:val="center"/>
              <w:rPr>
                <w:rFonts w:hint="eastAsia"/>
              </w:rPr>
            </w:pPr>
            <w:r>
              <w:rPr>
                <w:rFonts w:hint="eastAsia"/>
              </w:rPr>
              <w:t>年龄</w:t>
            </w:r>
          </w:p>
        </w:tc>
        <w:tc>
          <w:tcPr>
            <w:tcW w:w="1421" w:type="dxa"/>
            <w:vAlign w:val="center"/>
          </w:tcPr>
          <w:p w14:paraId="23789898">
            <w:pPr>
              <w:spacing w:line="360" w:lineRule="auto"/>
              <w:jc w:val="center"/>
              <w:rPr>
                <w:rFonts w:hint="eastAsia"/>
              </w:rPr>
            </w:pPr>
          </w:p>
        </w:tc>
      </w:tr>
      <w:tr w14:paraId="3E3D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28" w:type="dxa"/>
            <w:vAlign w:val="center"/>
          </w:tcPr>
          <w:p w14:paraId="7E3895D5">
            <w:pPr>
              <w:spacing w:line="360" w:lineRule="auto"/>
              <w:jc w:val="center"/>
              <w:rPr>
                <w:rFonts w:hint="eastAsia"/>
              </w:rPr>
            </w:pPr>
            <w:r>
              <w:rPr>
                <w:rFonts w:hint="eastAsia"/>
              </w:rPr>
              <w:t>职称</w:t>
            </w:r>
          </w:p>
        </w:tc>
        <w:tc>
          <w:tcPr>
            <w:tcW w:w="1112" w:type="dxa"/>
            <w:vAlign w:val="center"/>
          </w:tcPr>
          <w:p w14:paraId="034896CE">
            <w:pPr>
              <w:spacing w:line="360" w:lineRule="auto"/>
              <w:jc w:val="center"/>
              <w:rPr>
                <w:rFonts w:hint="eastAsia"/>
              </w:rPr>
            </w:pPr>
          </w:p>
        </w:tc>
        <w:tc>
          <w:tcPr>
            <w:tcW w:w="1421" w:type="dxa"/>
            <w:vAlign w:val="center"/>
          </w:tcPr>
          <w:p w14:paraId="78B5F9A4">
            <w:pPr>
              <w:spacing w:line="360" w:lineRule="auto"/>
              <w:jc w:val="center"/>
              <w:rPr>
                <w:rFonts w:hint="eastAsia"/>
              </w:rPr>
            </w:pPr>
            <w:r>
              <w:rPr>
                <w:rFonts w:hint="eastAsia"/>
              </w:rPr>
              <w:t>专业</w:t>
            </w:r>
          </w:p>
        </w:tc>
        <w:tc>
          <w:tcPr>
            <w:tcW w:w="1420" w:type="dxa"/>
            <w:vAlign w:val="center"/>
          </w:tcPr>
          <w:p w14:paraId="1953AEBE">
            <w:pPr>
              <w:spacing w:line="360" w:lineRule="auto"/>
              <w:jc w:val="center"/>
              <w:rPr>
                <w:rFonts w:hint="eastAsia"/>
              </w:rPr>
            </w:pPr>
          </w:p>
        </w:tc>
        <w:tc>
          <w:tcPr>
            <w:tcW w:w="1420" w:type="dxa"/>
            <w:vAlign w:val="center"/>
          </w:tcPr>
          <w:p w14:paraId="133C8C63">
            <w:pPr>
              <w:spacing w:line="360" w:lineRule="auto"/>
              <w:jc w:val="center"/>
              <w:rPr>
                <w:rFonts w:hint="eastAsia"/>
              </w:rPr>
            </w:pPr>
            <w:r>
              <w:rPr>
                <w:rFonts w:hint="eastAsia"/>
              </w:rPr>
              <w:t>学历</w:t>
            </w:r>
          </w:p>
        </w:tc>
        <w:tc>
          <w:tcPr>
            <w:tcW w:w="1421" w:type="dxa"/>
            <w:vAlign w:val="center"/>
          </w:tcPr>
          <w:p w14:paraId="5DEDAF28">
            <w:pPr>
              <w:spacing w:line="360" w:lineRule="auto"/>
              <w:jc w:val="center"/>
              <w:rPr>
                <w:rFonts w:hint="eastAsia"/>
              </w:rPr>
            </w:pPr>
          </w:p>
        </w:tc>
      </w:tr>
      <w:tr w14:paraId="64C1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vAlign w:val="center"/>
          </w:tcPr>
          <w:p w14:paraId="07EF7F0E">
            <w:pPr>
              <w:spacing w:line="360" w:lineRule="auto"/>
              <w:jc w:val="center"/>
              <w:rPr>
                <w:rFonts w:hint="eastAsia"/>
              </w:rPr>
            </w:pPr>
            <w:r>
              <w:rPr>
                <w:rFonts w:hint="eastAsia"/>
              </w:rPr>
              <w:t>参加工作时间</w:t>
            </w:r>
          </w:p>
        </w:tc>
        <w:tc>
          <w:tcPr>
            <w:tcW w:w="1112" w:type="dxa"/>
            <w:vAlign w:val="center"/>
          </w:tcPr>
          <w:p w14:paraId="64B6D954">
            <w:pPr>
              <w:spacing w:line="360" w:lineRule="auto"/>
              <w:jc w:val="center"/>
              <w:rPr>
                <w:rFonts w:hint="eastAsia"/>
              </w:rPr>
            </w:pPr>
          </w:p>
        </w:tc>
        <w:tc>
          <w:tcPr>
            <w:tcW w:w="1421" w:type="dxa"/>
            <w:vAlign w:val="center"/>
          </w:tcPr>
          <w:p w14:paraId="0B0F2FF5">
            <w:pPr>
              <w:spacing w:line="360" w:lineRule="auto"/>
              <w:jc w:val="center"/>
              <w:rPr>
                <w:rFonts w:hint="eastAsia"/>
              </w:rPr>
            </w:pPr>
            <w:r>
              <w:rPr>
                <w:rFonts w:hint="eastAsia"/>
              </w:rPr>
              <w:t>资质证书</w:t>
            </w:r>
          </w:p>
        </w:tc>
        <w:tc>
          <w:tcPr>
            <w:tcW w:w="1420" w:type="dxa"/>
            <w:vAlign w:val="center"/>
          </w:tcPr>
          <w:p w14:paraId="376BC648">
            <w:pPr>
              <w:spacing w:line="360" w:lineRule="auto"/>
              <w:jc w:val="center"/>
              <w:rPr>
                <w:rFonts w:hint="eastAsia"/>
              </w:rPr>
            </w:pPr>
          </w:p>
        </w:tc>
        <w:tc>
          <w:tcPr>
            <w:tcW w:w="1420" w:type="dxa"/>
            <w:vAlign w:val="center"/>
          </w:tcPr>
          <w:p w14:paraId="5CB3AA6D">
            <w:pPr>
              <w:spacing w:line="360" w:lineRule="auto"/>
              <w:jc w:val="center"/>
              <w:rPr>
                <w:rFonts w:hint="eastAsia"/>
              </w:rPr>
            </w:pPr>
            <w:r>
              <w:rPr>
                <w:rFonts w:hint="eastAsia"/>
              </w:rPr>
              <w:t>在本项目拟担任职务</w:t>
            </w:r>
          </w:p>
        </w:tc>
        <w:tc>
          <w:tcPr>
            <w:tcW w:w="1421" w:type="dxa"/>
            <w:vAlign w:val="center"/>
          </w:tcPr>
          <w:p w14:paraId="3045DEA4">
            <w:pPr>
              <w:spacing w:line="360" w:lineRule="auto"/>
              <w:jc w:val="center"/>
              <w:rPr>
                <w:rFonts w:hint="eastAsia"/>
              </w:rPr>
            </w:pPr>
          </w:p>
        </w:tc>
      </w:tr>
      <w:tr w14:paraId="3CA0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8522" w:type="dxa"/>
            <w:gridSpan w:val="6"/>
            <w:vAlign w:val="center"/>
          </w:tcPr>
          <w:p w14:paraId="0F52E8A9">
            <w:pPr>
              <w:spacing w:line="360" w:lineRule="auto"/>
              <w:jc w:val="center"/>
              <w:rPr>
                <w:rFonts w:hint="eastAsia"/>
              </w:rPr>
            </w:pPr>
            <w:r>
              <w:rPr>
                <w:rFonts w:hint="eastAsia"/>
              </w:rPr>
              <w:t>近年主要类似工作经历</w:t>
            </w:r>
          </w:p>
        </w:tc>
      </w:tr>
      <w:tr w14:paraId="57D7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trPr>
        <w:tc>
          <w:tcPr>
            <w:tcW w:w="8522" w:type="dxa"/>
            <w:gridSpan w:val="6"/>
            <w:vAlign w:val="center"/>
          </w:tcPr>
          <w:p w14:paraId="089CA45E">
            <w:pPr>
              <w:spacing w:line="360" w:lineRule="auto"/>
              <w:jc w:val="center"/>
              <w:rPr>
                <w:rFonts w:hint="eastAsia"/>
              </w:rPr>
            </w:pPr>
          </w:p>
        </w:tc>
      </w:tr>
    </w:tbl>
    <w:p w14:paraId="585B2DB4">
      <w:pPr>
        <w:widowControl w:val="0"/>
        <w:spacing w:line="360" w:lineRule="auto"/>
        <w:jc w:val="both"/>
        <w:rPr>
          <w:rFonts w:hint="eastAsia"/>
          <w:sz w:val="21"/>
          <w:szCs w:val="21"/>
        </w:rPr>
      </w:pPr>
      <w:r>
        <w:rPr>
          <w:rFonts w:hint="eastAsia"/>
          <w:sz w:val="21"/>
          <w:szCs w:val="21"/>
        </w:rPr>
        <w:t>注：本表后需附项目经理有效的身份证、最高学历证明、社保证明材料（近6个月）及其他证明材料，以上文件均须加盖投标人公章。</w:t>
      </w:r>
    </w:p>
    <w:p w14:paraId="79367AFB">
      <w:pPr>
        <w:widowControl w:val="0"/>
        <w:spacing w:line="360" w:lineRule="auto"/>
        <w:jc w:val="both"/>
        <w:rPr>
          <w:rFonts w:ascii="Times New Roman" w:hAnsi="Times New Roman" w:cs="Times New Roman"/>
          <w:kern w:val="2"/>
          <w:sz w:val="21"/>
          <w:szCs w:val="21"/>
        </w:rPr>
      </w:pPr>
    </w:p>
    <w:p w14:paraId="5CBFCB98">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64AFE5D6">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02AF3218">
      <w:pPr>
        <w:widowControl w:val="0"/>
        <w:spacing w:line="360" w:lineRule="auto"/>
        <w:ind w:firstLine="420" w:firstLineChars="200"/>
        <w:jc w:val="both"/>
        <w:rPr>
          <w:rFonts w:ascii="Times New Roman" w:hAnsi="Times New Roman" w:cs="Times New Roman"/>
          <w:sz w:val="21"/>
          <w:szCs w:val="21"/>
        </w:rPr>
        <w:sectPr>
          <w:pgSz w:w="11906" w:h="16838"/>
          <w:pgMar w:top="1440" w:right="1800" w:bottom="1440" w:left="1800" w:header="851" w:footer="992" w:gutter="0"/>
          <w:cols w:space="720" w:num="1"/>
          <w:docGrid w:type="lines" w:linePitch="312" w:charSpace="0"/>
        </w:sect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19869564">
      <w:pPr>
        <w:widowControl w:val="0"/>
        <w:spacing w:line="360" w:lineRule="auto"/>
        <w:jc w:val="center"/>
        <w:rPr>
          <w:rFonts w:ascii="Times New Roman" w:hAnsi="Times New Roman" w:cs="Times New Roman"/>
          <w:kern w:val="2"/>
          <w:sz w:val="21"/>
          <w:szCs w:val="21"/>
        </w:rPr>
      </w:pPr>
    </w:p>
    <w:p w14:paraId="73AEBA2D">
      <w:pPr>
        <w:widowControl w:val="0"/>
        <w:spacing w:line="360" w:lineRule="auto"/>
        <w:jc w:val="center"/>
        <w:rPr>
          <w:rFonts w:hint="eastAsia"/>
          <w:b/>
        </w:rPr>
      </w:pPr>
      <w:r>
        <w:rPr>
          <w:rFonts w:hint="eastAsia"/>
          <w:b/>
        </w:rPr>
        <w:t>拟投入本项目项目组成员情况表</w:t>
      </w:r>
    </w:p>
    <w:p w14:paraId="10CD7DE1">
      <w:pPr>
        <w:widowControl w:val="0"/>
        <w:spacing w:line="360" w:lineRule="auto"/>
        <w:jc w:val="center"/>
        <w:rPr>
          <w:rFonts w:ascii="Times New Roman" w:hAnsi="Times New Roman" w:cs="Times New Roman"/>
          <w:kern w:val="2"/>
          <w:sz w:val="21"/>
          <w:szCs w:val="21"/>
        </w:rPr>
      </w:pPr>
    </w:p>
    <w:tbl>
      <w:tblPr>
        <w:tblStyle w:val="3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985"/>
        <w:gridCol w:w="2268"/>
        <w:gridCol w:w="1984"/>
      </w:tblGrid>
      <w:tr w14:paraId="43C1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0" w:type="dxa"/>
            <w:vAlign w:val="center"/>
          </w:tcPr>
          <w:p w14:paraId="7C95C9B4">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序号</w:t>
            </w:r>
          </w:p>
        </w:tc>
        <w:tc>
          <w:tcPr>
            <w:tcW w:w="992" w:type="dxa"/>
            <w:vAlign w:val="center"/>
          </w:tcPr>
          <w:p w14:paraId="45144867">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姓名</w:t>
            </w:r>
          </w:p>
        </w:tc>
        <w:tc>
          <w:tcPr>
            <w:tcW w:w="1134" w:type="dxa"/>
            <w:vAlign w:val="center"/>
          </w:tcPr>
          <w:p w14:paraId="6FC95BD4">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年龄</w:t>
            </w:r>
          </w:p>
        </w:tc>
        <w:tc>
          <w:tcPr>
            <w:tcW w:w="1985" w:type="dxa"/>
            <w:vAlign w:val="center"/>
          </w:tcPr>
          <w:p w14:paraId="779EED00">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本项目职责分工</w:t>
            </w:r>
          </w:p>
        </w:tc>
        <w:tc>
          <w:tcPr>
            <w:tcW w:w="2268" w:type="dxa"/>
            <w:vAlign w:val="center"/>
          </w:tcPr>
          <w:p w14:paraId="5F882A43">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参加工作时间及年限</w:t>
            </w:r>
          </w:p>
        </w:tc>
        <w:tc>
          <w:tcPr>
            <w:tcW w:w="1984" w:type="dxa"/>
            <w:vAlign w:val="center"/>
          </w:tcPr>
          <w:p w14:paraId="74940C16">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获得相关资质证书</w:t>
            </w:r>
          </w:p>
        </w:tc>
      </w:tr>
      <w:tr w14:paraId="4764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75434913">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13D71117">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09B4B701">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11139D30">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7627184F">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0C9EE4DC">
            <w:pPr>
              <w:widowControl w:val="0"/>
              <w:adjustRightInd w:val="0"/>
              <w:snapToGrid w:val="0"/>
              <w:spacing w:after="156" w:afterLines="50" w:line="360" w:lineRule="auto"/>
              <w:jc w:val="center"/>
              <w:rPr>
                <w:rFonts w:ascii="Times New Roman" w:hAnsi="Times New Roman" w:cs="Times New Roman"/>
                <w:kern w:val="2"/>
                <w:szCs w:val="22"/>
              </w:rPr>
            </w:pPr>
          </w:p>
        </w:tc>
      </w:tr>
      <w:tr w14:paraId="52AD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78061AE6">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63AF2106">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4E597374">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3ECFD424">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473F52C1">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753652C9">
            <w:pPr>
              <w:widowControl w:val="0"/>
              <w:adjustRightInd w:val="0"/>
              <w:snapToGrid w:val="0"/>
              <w:spacing w:after="156" w:afterLines="50" w:line="360" w:lineRule="auto"/>
              <w:jc w:val="center"/>
              <w:rPr>
                <w:rFonts w:ascii="Times New Roman" w:hAnsi="Times New Roman" w:cs="Times New Roman"/>
                <w:kern w:val="2"/>
                <w:szCs w:val="22"/>
              </w:rPr>
            </w:pPr>
          </w:p>
        </w:tc>
      </w:tr>
      <w:tr w14:paraId="21EB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4E3BA83C">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10966690">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5C5B246D">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7ABC8101">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0F72A984">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3EEBF0FF">
            <w:pPr>
              <w:widowControl w:val="0"/>
              <w:adjustRightInd w:val="0"/>
              <w:snapToGrid w:val="0"/>
              <w:spacing w:after="156" w:afterLines="50" w:line="360" w:lineRule="auto"/>
              <w:jc w:val="center"/>
              <w:rPr>
                <w:rFonts w:ascii="Times New Roman" w:hAnsi="Times New Roman" w:cs="Times New Roman"/>
                <w:kern w:val="2"/>
                <w:szCs w:val="22"/>
              </w:rPr>
            </w:pPr>
          </w:p>
        </w:tc>
      </w:tr>
      <w:tr w14:paraId="292B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E82A9C1">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3DC5E7C2">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202A02C1">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74BC2952">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3417B2F6">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794492F0">
            <w:pPr>
              <w:widowControl w:val="0"/>
              <w:adjustRightInd w:val="0"/>
              <w:snapToGrid w:val="0"/>
              <w:spacing w:after="156" w:afterLines="50" w:line="360" w:lineRule="auto"/>
              <w:jc w:val="center"/>
              <w:rPr>
                <w:rFonts w:ascii="Times New Roman" w:hAnsi="Times New Roman" w:cs="Times New Roman"/>
                <w:kern w:val="2"/>
                <w:szCs w:val="22"/>
              </w:rPr>
            </w:pPr>
          </w:p>
        </w:tc>
      </w:tr>
      <w:tr w14:paraId="3A11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DBD6766">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79886F46">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3CA510DE">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12A17BCE">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0AEFFBE6">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2C9259EC">
            <w:pPr>
              <w:widowControl w:val="0"/>
              <w:adjustRightInd w:val="0"/>
              <w:snapToGrid w:val="0"/>
              <w:spacing w:after="156" w:afterLines="50" w:line="360" w:lineRule="auto"/>
              <w:jc w:val="center"/>
              <w:rPr>
                <w:rFonts w:ascii="Times New Roman" w:hAnsi="Times New Roman" w:cs="Times New Roman"/>
                <w:kern w:val="2"/>
                <w:szCs w:val="22"/>
              </w:rPr>
            </w:pPr>
          </w:p>
        </w:tc>
      </w:tr>
      <w:tr w14:paraId="14CF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0BAD01F9">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5CA2C806">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3F10D2BE">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048ECED9">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6A8783F3">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40E73671">
            <w:pPr>
              <w:widowControl w:val="0"/>
              <w:adjustRightInd w:val="0"/>
              <w:snapToGrid w:val="0"/>
              <w:spacing w:after="156" w:afterLines="50" w:line="360" w:lineRule="auto"/>
              <w:jc w:val="center"/>
              <w:rPr>
                <w:rFonts w:ascii="Times New Roman" w:hAnsi="Times New Roman" w:cs="Times New Roman"/>
                <w:kern w:val="2"/>
                <w:szCs w:val="22"/>
              </w:rPr>
            </w:pPr>
          </w:p>
        </w:tc>
      </w:tr>
      <w:tr w14:paraId="57EA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6FDC15A">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1CBB6ACE">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3BFCD3BF">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12AED3C1">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08344466">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41B15681">
            <w:pPr>
              <w:widowControl w:val="0"/>
              <w:adjustRightInd w:val="0"/>
              <w:snapToGrid w:val="0"/>
              <w:spacing w:after="156" w:afterLines="50" w:line="360" w:lineRule="auto"/>
              <w:jc w:val="center"/>
              <w:rPr>
                <w:rFonts w:ascii="Times New Roman" w:hAnsi="Times New Roman" w:cs="Times New Roman"/>
                <w:kern w:val="2"/>
                <w:szCs w:val="22"/>
              </w:rPr>
            </w:pPr>
          </w:p>
        </w:tc>
      </w:tr>
      <w:tr w14:paraId="7CB2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65E2E63D">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1A6D23D9">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3324C6CE">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07815635">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4B9EA147">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71F6C6CF">
            <w:pPr>
              <w:widowControl w:val="0"/>
              <w:adjustRightInd w:val="0"/>
              <w:snapToGrid w:val="0"/>
              <w:spacing w:after="156" w:afterLines="50" w:line="360" w:lineRule="auto"/>
              <w:jc w:val="center"/>
              <w:rPr>
                <w:rFonts w:ascii="Times New Roman" w:hAnsi="Times New Roman" w:cs="Times New Roman"/>
                <w:kern w:val="2"/>
                <w:szCs w:val="22"/>
              </w:rPr>
            </w:pPr>
          </w:p>
        </w:tc>
      </w:tr>
      <w:tr w14:paraId="5C49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77DAE510">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1251DE5C">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08D26153">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17D4459B">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292AC86C">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1FB5EC32">
            <w:pPr>
              <w:widowControl w:val="0"/>
              <w:adjustRightInd w:val="0"/>
              <w:snapToGrid w:val="0"/>
              <w:spacing w:after="156" w:afterLines="50" w:line="360" w:lineRule="auto"/>
              <w:jc w:val="center"/>
              <w:rPr>
                <w:rFonts w:ascii="Times New Roman" w:hAnsi="Times New Roman" w:cs="Times New Roman"/>
                <w:kern w:val="2"/>
                <w:szCs w:val="22"/>
              </w:rPr>
            </w:pPr>
          </w:p>
        </w:tc>
      </w:tr>
    </w:tbl>
    <w:p w14:paraId="0A56F8D2">
      <w:pPr>
        <w:widowControl w:val="0"/>
        <w:spacing w:line="360" w:lineRule="auto"/>
        <w:jc w:val="both"/>
        <w:rPr>
          <w:rFonts w:hint="eastAsia"/>
          <w:sz w:val="21"/>
          <w:szCs w:val="21"/>
        </w:rPr>
      </w:pPr>
      <w:r>
        <w:rPr>
          <w:rFonts w:hint="eastAsia"/>
          <w:sz w:val="21"/>
          <w:szCs w:val="21"/>
        </w:rPr>
        <w:t>注：本表后</w:t>
      </w:r>
      <w:r>
        <w:rPr>
          <w:rFonts w:hint="eastAsia" w:ascii="Times New Roman" w:hAnsi="Times New Roman" w:cs="Times New Roman"/>
          <w:sz w:val="21"/>
          <w:szCs w:val="21"/>
        </w:rPr>
        <w:t>需附项目组成员有效的身份证、社保证明材料（近6个月）</w:t>
      </w:r>
      <w:r>
        <w:rPr>
          <w:rFonts w:hint="eastAsia"/>
          <w:sz w:val="21"/>
          <w:szCs w:val="21"/>
        </w:rPr>
        <w:t>及其他证明材料</w:t>
      </w:r>
      <w:r>
        <w:rPr>
          <w:rFonts w:hint="eastAsia" w:ascii="Times New Roman" w:hAnsi="Times New Roman" w:cs="Times New Roman"/>
          <w:sz w:val="21"/>
          <w:szCs w:val="21"/>
        </w:rPr>
        <w:t>，以上文件均须加盖投标人公章。</w:t>
      </w:r>
    </w:p>
    <w:p w14:paraId="1766B013">
      <w:pPr>
        <w:widowControl w:val="0"/>
        <w:spacing w:line="360" w:lineRule="auto"/>
        <w:jc w:val="both"/>
        <w:rPr>
          <w:rFonts w:ascii="Times New Roman" w:hAnsi="Times New Roman" w:cs="Times New Roman"/>
          <w:kern w:val="2"/>
          <w:sz w:val="21"/>
          <w:szCs w:val="21"/>
        </w:rPr>
      </w:pPr>
    </w:p>
    <w:p w14:paraId="273603BE">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5169EACF">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69498F46">
      <w:pPr>
        <w:widowControl w:val="0"/>
        <w:spacing w:line="360" w:lineRule="auto"/>
        <w:ind w:firstLine="420" w:firstLineChars="200"/>
        <w:jc w:val="both"/>
        <w:rPr>
          <w:rFonts w:ascii="Times New Roman" w:hAnsi="Times New Roman" w:cs="Times New Roman"/>
          <w:kern w:val="2"/>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14A08E7A">
      <w:pPr>
        <w:spacing w:line="360" w:lineRule="auto"/>
        <w:ind w:left="420"/>
        <w:rPr>
          <w:rFonts w:ascii="Times New Roman" w:hAnsi="Times New Roman" w:cs="Times New Roman"/>
          <w:szCs w:val="21"/>
        </w:rPr>
      </w:pPr>
    </w:p>
    <w:p w14:paraId="08E3095E">
      <w:pPr>
        <w:pStyle w:val="15"/>
        <w:rPr>
          <w:rFonts w:ascii="Times New Roman" w:hAnsi="Times New Roman"/>
          <w:szCs w:val="21"/>
        </w:rPr>
      </w:pPr>
    </w:p>
    <w:p w14:paraId="60BDDD7F">
      <w:pPr>
        <w:rPr>
          <w:rFonts w:ascii="Times New Roman" w:hAnsi="Times New Roman" w:cs="Times New Roman"/>
          <w:szCs w:val="21"/>
        </w:rPr>
        <w:sectPr>
          <w:pgSz w:w="11906" w:h="16838"/>
          <w:pgMar w:top="1440" w:right="1800" w:bottom="1440" w:left="1800" w:header="851" w:footer="992" w:gutter="0"/>
          <w:cols w:space="720" w:num="1"/>
          <w:docGrid w:type="lines" w:linePitch="312" w:charSpace="0"/>
        </w:sectPr>
      </w:pPr>
    </w:p>
    <w:p w14:paraId="1A96C206">
      <w:pPr>
        <w:spacing w:line="360" w:lineRule="auto"/>
        <w:rPr>
          <w:rFonts w:ascii="Times New Roman" w:hAnsi="Times New Roman" w:cs="Times New Roman"/>
          <w:szCs w:val="21"/>
        </w:rPr>
      </w:pPr>
    </w:p>
    <w:p w14:paraId="73759E5A">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64" w:name="_Toc8029"/>
      <w:r>
        <w:rPr>
          <w:rFonts w:ascii="Times New Roman" w:hAnsi="Times New Roman" w:cs="Times New Roman"/>
          <w:b/>
        </w:rPr>
        <w:t>技术文件</w:t>
      </w:r>
      <w:bookmarkEnd w:id="1964"/>
    </w:p>
    <w:p w14:paraId="2E1DDC80">
      <w:pPr>
        <w:spacing w:line="360" w:lineRule="auto"/>
        <w:ind w:left="420"/>
        <w:rPr>
          <w:rFonts w:ascii="Times New Roman" w:hAnsi="Times New Roman" w:cs="Times New Roman"/>
          <w:sz w:val="21"/>
          <w:szCs w:val="21"/>
        </w:rPr>
      </w:pPr>
    </w:p>
    <w:p w14:paraId="2C7CC5E0">
      <w:pPr>
        <w:spacing w:line="360" w:lineRule="auto"/>
        <w:ind w:left="420"/>
        <w:rPr>
          <w:rFonts w:ascii="Times New Roman" w:hAnsi="Times New Roman" w:cs="Times New Roman"/>
          <w:sz w:val="21"/>
          <w:szCs w:val="21"/>
        </w:rPr>
      </w:pPr>
      <w:r>
        <w:rPr>
          <w:rFonts w:ascii="Times New Roman" w:hAnsi="Times New Roman" w:cs="Times New Roman"/>
          <w:sz w:val="21"/>
          <w:szCs w:val="21"/>
        </w:rPr>
        <w:t>投标人自行根据招标文件技术要求进行编制</w:t>
      </w:r>
    </w:p>
    <w:p w14:paraId="0FA8FE98">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257AC24C">
      <w:pPr>
        <w:pStyle w:val="63"/>
        <w:tabs>
          <w:tab w:val="left" w:pos="1276"/>
        </w:tabs>
        <w:spacing w:line="360" w:lineRule="auto"/>
        <w:ind w:firstLine="0" w:firstLineChars="0"/>
        <w:rPr>
          <w:rFonts w:ascii="Times New Roman" w:hAnsi="Times New Roman" w:cs="Times New Roman"/>
          <w:b/>
        </w:rPr>
      </w:pPr>
    </w:p>
    <w:p w14:paraId="3673E377">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65" w:name="_Toc23715"/>
      <w:r>
        <w:rPr>
          <w:rFonts w:ascii="Times New Roman" w:hAnsi="Times New Roman" w:cs="Times New Roman"/>
          <w:b/>
        </w:rPr>
        <w:t>招标文件要求的和投标人认为必要的其它文件</w:t>
      </w:r>
      <w:bookmarkEnd w:id="1965"/>
    </w:p>
    <w:p w14:paraId="2BC02348">
      <w:pPr>
        <w:rPr>
          <w:rFonts w:hint="eastAsia"/>
        </w:rPr>
      </w:pPr>
      <w:r>
        <w:br w:type="page"/>
      </w:r>
    </w:p>
    <w:p w14:paraId="0FC546A2">
      <w:pPr>
        <w:pStyle w:val="63"/>
        <w:numPr>
          <w:ilvl w:val="0"/>
          <w:numId w:val="21"/>
        </w:numPr>
        <w:tabs>
          <w:tab w:val="left" w:pos="1276"/>
          <w:tab w:val="clear" w:pos="851"/>
        </w:tabs>
        <w:spacing w:line="360" w:lineRule="auto"/>
        <w:ind w:left="1276" w:hanging="1276" w:firstLineChars="0"/>
        <w:outlineLvl w:val="0"/>
        <w:rPr>
          <w:rFonts w:ascii="Times New Roman" w:hAnsi="Times New Roman" w:cs="Times New Roman"/>
          <w:b/>
        </w:rPr>
      </w:pPr>
      <w:bookmarkStart w:id="1966" w:name="_Toc18515"/>
      <w:r>
        <w:rPr>
          <w:rFonts w:hint="eastAsia" w:ascii="Times New Roman" w:hAnsi="Times New Roman" w:cs="Times New Roman"/>
          <w:b/>
        </w:rPr>
        <w:t>承诺函</w:t>
      </w:r>
      <w:bookmarkEnd w:id="1966"/>
    </w:p>
    <w:p w14:paraId="64FC6D5E">
      <w:pPr>
        <w:rPr>
          <w:rFonts w:hint="eastAsia" w:eastAsia="宋体"/>
          <w:lang w:val="en-US" w:eastAsia="zh-CN"/>
        </w:rPr>
      </w:pPr>
      <w:r>
        <w:rPr>
          <w:rFonts w:hint="eastAsia"/>
          <w:lang w:val="en-US" w:eastAsia="zh-CN"/>
        </w:rPr>
        <w:t>格式自拟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黑体-简 细体">
    <w:altName w:val="黑体"/>
    <w:panose1 w:val="00000000000000000000"/>
    <w:charset w:val="86"/>
    <w:family w:val="auto"/>
    <w:pitch w:val="default"/>
    <w:sig w:usb0="00000000" w:usb1="00000000" w:usb2="00000000" w:usb3="00000000" w:csb0="203E0000" w:csb1="00000000"/>
  </w:font>
  <w:font w:name="Arial Unicode MS">
    <w:panose1 w:val="020B0604020202020204"/>
    <w:charset w:val="86"/>
    <w:family w:val="swiss"/>
    <w:pitch w:val="default"/>
    <w:sig w:usb0="F7FFAEFF" w:usb1="F9DFFFFF" w:usb2="0000007F" w:usb3="00000000" w:csb0="203F01FF" w:csb1="DFFF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7A5A">
    <w:pPr>
      <w:pStyle w:val="18"/>
      <w:jc w:val="center"/>
    </w:pPr>
    <w:r>
      <w:fldChar w:fldCharType="begin"/>
    </w:r>
    <w:r>
      <w:instrText xml:space="preserve">PAGE   \* MERGEFORMAT</w:instrText>
    </w:r>
    <w:r>
      <w:fldChar w:fldCharType="separate"/>
    </w:r>
    <w:r>
      <w:rPr>
        <w:lang w:val="zh-CN"/>
      </w:rPr>
      <w:t>80</w:t>
    </w:r>
    <w:r>
      <w:fldChar w:fldCharType="end"/>
    </w:r>
  </w:p>
  <w:p w14:paraId="778A7D8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4CBAD">
    <w:pPr>
      <w:pStyle w:val="19"/>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C14E6">
    <w:pPr>
      <w:pStyle w:val="19"/>
      <w:pBdr>
        <w:bottom w:val="single" w:color="auto" w:sz="4" w:space="1"/>
      </w:pBdr>
      <w:jc w:val="left"/>
    </w:pPr>
    <w:r>
      <w:drawing>
        <wp:inline distT="0" distB="0" distL="114300" distR="114300">
          <wp:extent cx="350520" cy="315595"/>
          <wp:effectExtent l="0" t="0" r="1905" b="8255"/>
          <wp:docPr id="3" name="图片 1" descr="说明: 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未标题-1"/>
                  <pic:cNvPicPr>
                    <a:picLocks noChangeAspect="1"/>
                  </pic:cNvPicPr>
                </pic:nvPicPr>
                <pic:blipFill>
                  <a:blip r:embed="rId1"/>
                  <a:stretch>
                    <a:fillRect/>
                  </a:stretch>
                </pic:blipFill>
                <pic:spPr>
                  <a:xfrm>
                    <a:off x="0" y="0"/>
                    <a:ext cx="350520" cy="315595"/>
                  </a:xfrm>
                  <a:prstGeom prst="rect">
                    <a:avLst/>
                  </a:prstGeom>
                  <a:noFill/>
                  <a:ln>
                    <a:noFill/>
                  </a:ln>
                </pic:spPr>
              </pic:pic>
            </a:graphicData>
          </a:graphic>
        </wp:inline>
      </w:drawing>
    </w:r>
    <w:r>
      <w:rPr>
        <w:rFonts w:hint="eastAsia" w:ascii="楷体_GB2312" w:eastAsia="楷体_GB2312"/>
        <w:sz w:val="21"/>
        <w:szCs w:val="21"/>
      </w:rPr>
      <w:t>北京国际工程咨询有限公司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50B97"/>
    <w:multiLevelType w:val="multilevel"/>
    <w:tmpl w:val="17350B97"/>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
    <w:nsid w:val="17B822AC"/>
    <w:multiLevelType w:val="multilevel"/>
    <w:tmpl w:val="17B822AC"/>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AB710FA"/>
    <w:multiLevelType w:val="multilevel"/>
    <w:tmpl w:val="1AB710FA"/>
    <w:lvl w:ilvl="0" w:tentative="0">
      <w:start w:val="1"/>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19754FC"/>
    <w:multiLevelType w:val="multilevel"/>
    <w:tmpl w:val="219754FC"/>
    <w:lvl w:ilvl="0" w:tentative="0">
      <w:start w:val="1"/>
      <w:numFmt w:val="decimal"/>
      <w:lvlText w:val="%1."/>
      <w:lvlJc w:val="left"/>
      <w:pPr>
        <w:ind w:left="840" w:hanging="420"/>
      </w:pPr>
      <w:rPr>
        <w:rFonts w:hint="eastAsia"/>
      </w:rPr>
    </w:lvl>
    <w:lvl w:ilvl="1" w:tentative="0">
      <w:start w:val="1"/>
      <w:numFmt w:val="upperLetter"/>
      <w:lvlText w:val="%2."/>
      <w:lvlJc w:val="left"/>
      <w:pPr>
        <w:ind w:left="1260" w:hanging="420"/>
      </w:pPr>
      <w:rPr>
        <w:rFonts w:hint="eastAsia"/>
      </w:rPr>
    </w:lvl>
    <w:lvl w:ilvl="2" w:tentative="0">
      <w:start w:val="1"/>
      <w:numFmt w:val="lowerLetter"/>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24311A25"/>
    <w:multiLevelType w:val="multilevel"/>
    <w:tmpl w:val="24311A25"/>
    <w:lvl w:ilvl="0" w:tentative="0">
      <w:start w:val="1"/>
      <w:numFmt w:val="decimal"/>
      <w:pStyle w:val="72"/>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8CC6564"/>
    <w:multiLevelType w:val="multilevel"/>
    <w:tmpl w:val="28CC6564"/>
    <w:lvl w:ilvl="0" w:tentative="0">
      <w:start w:val="1"/>
      <w:numFmt w:val="decimal"/>
      <w:lvlText w:val="（%1）"/>
      <w:lvlJc w:val="left"/>
      <w:pPr>
        <w:ind w:left="2387" w:hanging="111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672883"/>
    <w:multiLevelType w:val="multilevel"/>
    <w:tmpl w:val="30672883"/>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0BF52F4"/>
    <w:multiLevelType w:val="multilevel"/>
    <w:tmpl w:val="30BF52F4"/>
    <w:lvl w:ilvl="0" w:tentative="0">
      <w:start w:val="1"/>
      <w:numFmt w:val="decimal"/>
      <w:lvlText w:val="%1、"/>
      <w:lvlJc w:val="left"/>
      <w:pPr>
        <w:ind w:left="1155" w:hanging="7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C8B55DA"/>
    <w:multiLevelType w:val="multilevel"/>
    <w:tmpl w:val="3C8B55DA"/>
    <w:lvl w:ilvl="0" w:tentative="0">
      <w:start w:val="1"/>
      <w:numFmt w:val="decimal"/>
      <w:lvlText w:val="%1."/>
      <w:lvlJc w:val="left"/>
      <w:pPr>
        <w:tabs>
          <w:tab w:val="left" w:pos="720"/>
        </w:tabs>
        <w:ind w:left="720" w:hanging="720"/>
      </w:pPr>
    </w:lvl>
    <w:lvl w:ilvl="1" w:tentative="0">
      <w:start w:val="1"/>
      <w:numFmt w:val="decimal"/>
      <w:pStyle w:val="85"/>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9">
    <w:nsid w:val="3D4247BC"/>
    <w:multiLevelType w:val="multilevel"/>
    <w:tmpl w:val="3D4247BC"/>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EE5183"/>
    <w:multiLevelType w:val="multilevel"/>
    <w:tmpl w:val="3FEE5183"/>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42422073"/>
    <w:multiLevelType w:val="multilevel"/>
    <w:tmpl w:val="42422073"/>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45255F29"/>
    <w:multiLevelType w:val="multilevel"/>
    <w:tmpl w:val="45255F29"/>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ADA4198"/>
    <w:multiLevelType w:val="multilevel"/>
    <w:tmpl w:val="4ADA4198"/>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5060432B"/>
    <w:multiLevelType w:val="multilevel"/>
    <w:tmpl w:val="5060432B"/>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5">
    <w:nsid w:val="515574E1"/>
    <w:multiLevelType w:val="multilevel"/>
    <w:tmpl w:val="515574E1"/>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38146F4"/>
    <w:multiLevelType w:val="multilevel"/>
    <w:tmpl w:val="538146F4"/>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5A2C1ADB"/>
    <w:multiLevelType w:val="multilevel"/>
    <w:tmpl w:val="5A2C1ADB"/>
    <w:lvl w:ilvl="0" w:tentative="0">
      <w:start w:val="1"/>
      <w:numFmt w:val="decimal"/>
      <w:lvlText w:val="附件 %1."/>
      <w:lvlJc w:val="left"/>
      <w:pPr>
        <w:tabs>
          <w:tab w:val="left" w:pos="851"/>
        </w:tabs>
        <w:ind w:left="851" w:hanging="851"/>
      </w:pPr>
      <w:rPr>
        <w:rFonts w:hint="default" w:ascii="Times New Roman" w:hAnsi="Times New Roman" w:cs="Times New Roman"/>
        <w:b/>
        <w:sz w:val="24"/>
        <w:szCs w:val="24"/>
      </w:rPr>
    </w:lvl>
    <w:lvl w:ilvl="1" w:tentative="0">
      <w:start w:val="1"/>
      <w:numFmt w:val="decimal"/>
      <w:lvlText w:val="%1-%2 "/>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64BA0D27"/>
    <w:multiLevelType w:val="multilevel"/>
    <w:tmpl w:val="64BA0D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14F3338"/>
    <w:multiLevelType w:val="multilevel"/>
    <w:tmpl w:val="714F3338"/>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771F3F24"/>
    <w:multiLevelType w:val="multilevel"/>
    <w:tmpl w:val="771F3F24"/>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ascii="宋体" w:hAnsi="宋体" w:eastAsia="宋体"/>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1">
    <w:nsid w:val="77611C16"/>
    <w:multiLevelType w:val="multilevel"/>
    <w:tmpl w:val="77611C16"/>
    <w:lvl w:ilvl="0" w:tentative="0">
      <w:start w:val="1"/>
      <w:numFmt w:val="decimal"/>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783D01E5"/>
    <w:multiLevelType w:val="multilevel"/>
    <w:tmpl w:val="783D01E5"/>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CE365AA"/>
    <w:multiLevelType w:val="multilevel"/>
    <w:tmpl w:val="7CE365AA"/>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7D3A7348"/>
    <w:multiLevelType w:val="multilevel"/>
    <w:tmpl w:val="7D3A7348"/>
    <w:lvl w:ilvl="0" w:tentative="0">
      <w:start w:val="1"/>
      <w:numFmt w:val="decimal"/>
      <w:pStyle w:val="76"/>
      <w:suff w:val="space"/>
      <w:lvlText w:val="%1"/>
      <w:lvlJc w:val="left"/>
      <w:pPr>
        <w:ind w:left="0" w:firstLine="0"/>
      </w:pPr>
      <w:rPr>
        <w:rFonts w:hint="default" w:ascii="宋体" w:eastAsia="宋体"/>
        <w:b/>
        <w:i w:val="0"/>
        <w:sz w:val="21"/>
        <w:szCs w:val="21"/>
      </w:rPr>
    </w:lvl>
    <w:lvl w:ilvl="1" w:tentative="0">
      <w:start w:val="1"/>
      <w:numFmt w:val="decimal"/>
      <w:pStyle w:val="77"/>
      <w:isLgl/>
      <w:suff w:val="space"/>
      <w:lvlText w:val="%1.%2"/>
      <w:lvlJc w:val="left"/>
      <w:pPr>
        <w:ind w:left="0" w:firstLine="0"/>
      </w:pPr>
      <w:rPr>
        <w:rFonts w:hint="default" w:ascii="宋体" w:hAnsi="宋体" w:eastAsia="宋体" w:cs="宋体"/>
        <w:b/>
        <w:i w:val="0"/>
        <w:sz w:val="21"/>
        <w:szCs w:val="21"/>
      </w:rPr>
    </w:lvl>
    <w:lvl w:ilvl="2" w:tentative="0">
      <w:start w:val="1"/>
      <w:numFmt w:val="decimal"/>
      <w:pStyle w:val="78"/>
      <w:isLgl/>
      <w:suff w:val="space"/>
      <w:lvlText w:val="%1.%2.%3"/>
      <w:lvlJc w:val="left"/>
      <w:pPr>
        <w:ind w:left="0" w:firstLine="0"/>
      </w:pPr>
      <w:rPr>
        <w:rFonts w:hint="default" w:ascii="宋体" w:hAnsi="宋体" w:eastAsia="宋体" w:cs="宋体"/>
        <w:b/>
        <w:i w:val="0"/>
        <w:sz w:val="21"/>
        <w:szCs w:val="21"/>
      </w:rPr>
    </w:lvl>
    <w:lvl w:ilvl="3" w:tentative="0">
      <w:start w:val="1"/>
      <w:numFmt w:val="decimal"/>
      <w:pStyle w:val="80"/>
      <w:isLgl/>
      <w:suff w:val="space"/>
      <w:lvlText w:val="%1.%2.%3.%4"/>
      <w:lvlJc w:val="left"/>
      <w:pPr>
        <w:ind w:left="0" w:firstLine="0"/>
      </w:pPr>
      <w:rPr>
        <w:rFonts w:hint="default" w:ascii="宋体" w:hAnsi="宋体" w:eastAsia="宋体" w:cs="宋体"/>
        <w:b/>
        <w:i w:val="0"/>
        <w:sz w:val="21"/>
        <w:szCs w:val="21"/>
      </w:rPr>
    </w:lvl>
    <w:lvl w:ilvl="4" w:tentative="0">
      <w:start w:val="1"/>
      <w:numFmt w:val="decimal"/>
      <w:isLgl/>
      <w:suff w:val="space"/>
      <w:lvlText w:val="%1.%2.%3.%4.%5"/>
      <w:lvlJc w:val="left"/>
      <w:pPr>
        <w:ind w:left="0" w:firstLine="0"/>
      </w:pPr>
      <w:rPr>
        <w:rFonts w:hint="eastAsia" w:ascii="宋体" w:hAnsi="宋体" w:eastAsia="宋体" w:cs="宋体"/>
        <w:b/>
        <w:i w:val="0"/>
        <w:sz w:val="24"/>
      </w:rPr>
    </w:lvl>
    <w:lvl w:ilvl="5" w:tentative="0">
      <w:start w:val="1"/>
      <w:numFmt w:val="decimal"/>
      <w:isLgl/>
      <w:suff w:val="space"/>
      <w:lvlText w:val="%1.%2.%3.%4.%5.%6"/>
      <w:lvlJc w:val="left"/>
      <w:pPr>
        <w:ind w:left="0" w:firstLine="0"/>
      </w:pPr>
      <w:rPr>
        <w:rFonts w:hint="eastAsia" w:ascii="宋体" w:eastAsia="宋体"/>
        <w:sz w:val="24"/>
      </w:rPr>
    </w:lvl>
    <w:lvl w:ilvl="6" w:tentative="0">
      <w:start w:val="1"/>
      <w:numFmt w:val="decimal"/>
      <w:isLgl/>
      <w:suff w:val="space"/>
      <w:lvlText w:val="%1.%2.%3.%4.%5.%6.%7"/>
      <w:lvlJc w:val="left"/>
      <w:pPr>
        <w:ind w:left="0" w:firstLine="0"/>
      </w:pPr>
      <w:rPr>
        <w:rFonts w:hint="eastAsia" w:ascii="宋体" w:eastAsia="宋体"/>
        <w:b w:val="0"/>
        <w:i w:val="0"/>
        <w:sz w:val="24"/>
      </w:rPr>
    </w:lvl>
    <w:lvl w:ilvl="7" w:tentative="0">
      <w:start w:val="1"/>
      <w:numFmt w:val="decimal"/>
      <w:isLgl/>
      <w:suff w:val="space"/>
      <w:lvlText w:val="%1.%2.%3.%4.%5.%6.%7.%8"/>
      <w:lvlJc w:val="left"/>
      <w:pPr>
        <w:ind w:left="0" w:firstLine="0"/>
      </w:pPr>
      <w:rPr>
        <w:rFonts w:hint="eastAsia" w:ascii="宋体" w:eastAsia="宋体"/>
        <w:b w:val="0"/>
        <w:i w:val="0"/>
        <w:sz w:val="24"/>
      </w:rPr>
    </w:lvl>
    <w:lvl w:ilvl="8" w:tentative="0">
      <w:start w:val="1"/>
      <w:numFmt w:val="decimal"/>
      <w:isLgl/>
      <w:suff w:val="space"/>
      <w:lvlText w:val="%1.%2.%3.%4.%5.%6.%7.%8.%9"/>
      <w:lvlJc w:val="left"/>
      <w:pPr>
        <w:ind w:left="0" w:firstLine="0"/>
      </w:pPr>
      <w:rPr>
        <w:rFonts w:hint="eastAsia" w:ascii="宋体" w:eastAsia="宋体"/>
        <w:b w:val="0"/>
        <w:i w:val="0"/>
        <w:sz w:val="24"/>
      </w:rPr>
    </w:lvl>
  </w:abstractNum>
  <w:num w:numId="1">
    <w:abstractNumId w:val="4"/>
  </w:num>
  <w:num w:numId="2">
    <w:abstractNumId w:val="24"/>
  </w:num>
  <w:num w:numId="3">
    <w:abstractNumId w:val="8"/>
  </w:num>
  <w:num w:numId="4">
    <w:abstractNumId w:val="15"/>
  </w:num>
  <w:num w:numId="5">
    <w:abstractNumId w:val="2"/>
  </w:num>
  <w:num w:numId="6">
    <w:abstractNumId w:val="7"/>
  </w:num>
  <w:num w:numId="7">
    <w:abstractNumId w:val="18"/>
  </w:num>
  <w:num w:numId="8">
    <w:abstractNumId w:val="13"/>
  </w:num>
  <w:num w:numId="9">
    <w:abstractNumId w:val="9"/>
  </w:num>
  <w:num w:numId="10">
    <w:abstractNumId w:val="5"/>
  </w:num>
  <w:num w:numId="11">
    <w:abstractNumId w:val="20"/>
  </w:num>
  <w:num w:numId="12">
    <w:abstractNumId w:val="11"/>
  </w:num>
  <w:num w:numId="13">
    <w:abstractNumId w:val="6"/>
  </w:num>
  <w:num w:numId="14">
    <w:abstractNumId w:val="22"/>
  </w:num>
  <w:num w:numId="15">
    <w:abstractNumId w:val="23"/>
  </w:num>
  <w:num w:numId="16">
    <w:abstractNumId w:val="19"/>
  </w:num>
  <w:num w:numId="17">
    <w:abstractNumId w:val="1"/>
  </w:num>
  <w:num w:numId="18">
    <w:abstractNumId w:val="10"/>
  </w:num>
  <w:num w:numId="19">
    <w:abstractNumId w:val="16"/>
  </w:num>
  <w:num w:numId="20">
    <w:abstractNumId w:val="12"/>
  </w:num>
  <w:num w:numId="21">
    <w:abstractNumId w:val="17"/>
  </w:num>
  <w:num w:numId="22">
    <w:abstractNumId w:val="14"/>
  </w:num>
  <w:num w:numId="23">
    <w:abstractNumId w:val="0"/>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NWE0ZDQxNTExM2FjNWFiN2VjYTUxNzFkNTQ3YWEifQ=="/>
  </w:docVars>
  <w:rsids>
    <w:rsidRoot w:val="00E16CE4"/>
    <w:rsid w:val="0000161B"/>
    <w:rsid w:val="00004CD5"/>
    <w:rsid w:val="00005092"/>
    <w:rsid w:val="00011674"/>
    <w:rsid w:val="00013D5B"/>
    <w:rsid w:val="00015DA4"/>
    <w:rsid w:val="000161C6"/>
    <w:rsid w:val="000207D8"/>
    <w:rsid w:val="00023FDC"/>
    <w:rsid w:val="00025495"/>
    <w:rsid w:val="00026CB1"/>
    <w:rsid w:val="000322E2"/>
    <w:rsid w:val="00035FAE"/>
    <w:rsid w:val="000374A8"/>
    <w:rsid w:val="000527E0"/>
    <w:rsid w:val="00053F29"/>
    <w:rsid w:val="000573A2"/>
    <w:rsid w:val="00061559"/>
    <w:rsid w:val="00062493"/>
    <w:rsid w:val="000650C8"/>
    <w:rsid w:val="00065AC1"/>
    <w:rsid w:val="00066A3E"/>
    <w:rsid w:val="00066C35"/>
    <w:rsid w:val="00070317"/>
    <w:rsid w:val="00070373"/>
    <w:rsid w:val="0007105F"/>
    <w:rsid w:val="000762A1"/>
    <w:rsid w:val="00077B09"/>
    <w:rsid w:val="00082622"/>
    <w:rsid w:val="00083780"/>
    <w:rsid w:val="00085938"/>
    <w:rsid w:val="00086207"/>
    <w:rsid w:val="000901B9"/>
    <w:rsid w:val="00093888"/>
    <w:rsid w:val="0009481C"/>
    <w:rsid w:val="00096E35"/>
    <w:rsid w:val="000970BF"/>
    <w:rsid w:val="000978C4"/>
    <w:rsid w:val="000A181E"/>
    <w:rsid w:val="000A3D5E"/>
    <w:rsid w:val="000B49B0"/>
    <w:rsid w:val="000B69D4"/>
    <w:rsid w:val="000B6C93"/>
    <w:rsid w:val="000C4EFD"/>
    <w:rsid w:val="000C7E51"/>
    <w:rsid w:val="000D240C"/>
    <w:rsid w:val="000D5A8D"/>
    <w:rsid w:val="000D6FDC"/>
    <w:rsid w:val="000E17DB"/>
    <w:rsid w:val="000E39F1"/>
    <w:rsid w:val="000E76B8"/>
    <w:rsid w:val="000F0A32"/>
    <w:rsid w:val="000F76B0"/>
    <w:rsid w:val="00101B24"/>
    <w:rsid w:val="0010204E"/>
    <w:rsid w:val="00102B1C"/>
    <w:rsid w:val="00103932"/>
    <w:rsid w:val="0010450B"/>
    <w:rsid w:val="00106D05"/>
    <w:rsid w:val="00111024"/>
    <w:rsid w:val="00113366"/>
    <w:rsid w:val="001160B6"/>
    <w:rsid w:val="00122A84"/>
    <w:rsid w:val="001231A9"/>
    <w:rsid w:val="00124503"/>
    <w:rsid w:val="00127D5C"/>
    <w:rsid w:val="00134E48"/>
    <w:rsid w:val="00136B18"/>
    <w:rsid w:val="00140066"/>
    <w:rsid w:val="00141419"/>
    <w:rsid w:val="00141DE2"/>
    <w:rsid w:val="0014338A"/>
    <w:rsid w:val="0014446D"/>
    <w:rsid w:val="00144DE8"/>
    <w:rsid w:val="00145163"/>
    <w:rsid w:val="00146B37"/>
    <w:rsid w:val="00150882"/>
    <w:rsid w:val="0015098D"/>
    <w:rsid w:val="00151B7A"/>
    <w:rsid w:val="00152EAF"/>
    <w:rsid w:val="001548D6"/>
    <w:rsid w:val="00154D72"/>
    <w:rsid w:val="00155236"/>
    <w:rsid w:val="001556E0"/>
    <w:rsid w:val="00156730"/>
    <w:rsid w:val="00157595"/>
    <w:rsid w:val="00160C45"/>
    <w:rsid w:val="001626A4"/>
    <w:rsid w:val="00164417"/>
    <w:rsid w:val="00165919"/>
    <w:rsid w:val="0016628D"/>
    <w:rsid w:val="0016700A"/>
    <w:rsid w:val="001670C9"/>
    <w:rsid w:val="0016769A"/>
    <w:rsid w:val="0017286B"/>
    <w:rsid w:val="00174E79"/>
    <w:rsid w:val="00174F44"/>
    <w:rsid w:val="00185643"/>
    <w:rsid w:val="00186676"/>
    <w:rsid w:val="00192287"/>
    <w:rsid w:val="001926ED"/>
    <w:rsid w:val="001975E5"/>
    <w:rsid w:val="001A0E74"/>
    <w:rsid w:val="001A6BA1"/>
    <w:rsid w:val="001B1709"/>
    <w:rsid w:val="001B2CE3"/>
    <w:rsid w:val="001C0581"/>
    <w:rsid w:val="001C4BFF"/>
    <w:rsid w:val="001C7AA6"/>
    <w:rsid w:val="001D45DC"/>
    <w:rsid w:val="001D5984"/>
    <w:rsid w:val="001D76B9"/>
    <w:rsid w:val="001E0709"/>
    <w:rsid w:val="001E2D35"/>
    <w:rsid w:val="001E2E7E"/>
    <w:rsid w:val="001E6DF2"/>
    <w:rsid w:val="001E7ADD"/>
    <w:rsid w:val="001F0331"/>
    <w:rsid w:val="001F658E"/>
    <w:rsid w:val="002004CC"/>
    <w:rsid w:val="0020238A"/>
    <w:rsid w:val="002034E8"/>
    <w:rsid w:val="00203AA6"/>
    <w:rsid w:val="00204844"/>
    <w:rsid w:val="00207675"/>
    <w:rsid w:val="00210AC8"/>
    <w:rsid w:val="00212461"/>
    <w:rsid w:val="002136B7"/>
    <w:rsid w:val="00214C58"/>
    <w:rsid w:val="00215CC8"/>
    <w:rsid w:val="00215D0B"/>
    <w:rsid w:val="002166C7"/>
    <w:rsid w:val="00220EBD"/>
    <w:rsid w:val="00222FBD"/>
    <w:rsid w:val="00223490"/>
    <w:rsid w:val="00224E22"/>
    <w:rsid w:val="0022552B"/>
    <w:rsid w:val="00233237"/>
    <w:rsid w:val="00234E40"/>
    <w:rsid w:val="002404D4"/>
    <w:rsid w:val="00244CF5"/>
    <w:rsid w:val="0024557E"/>
    <w:rsid w:val="00251B72"/>
    <w:rsid w:val="00252639"/>
    <w:rsid w:val="00252B89"/>
    <w:rsid w:val="0025347E"/>
    <w:rsid w:val="00254CBD"/>
    <w:rsid w:val="00257111"/>
    <w:rsid w:val="00257806"/>
    <w:rsid w:val="00267107"/>
    <w:rsid w:val="00271B89"/>
    <w:rsid w:val="00272FCE"/>
    <w:rsid w:val="002808CB"/>
    <w:rsid w:val="0028408F"/>
    <w:rsid w:val="0028435F"/>
    <w:rsid w:val="0028583D"/>
    <w:rsid w:val="00294EAE"/>
    <w:rsid w:val="002954D9"/>
    <w:rsid w:val="00297E67"/>
    <w:rsid w:val="002A038D"/>
    <w:rsid w:val="002A21B5"/>
    <w:rsid w:val="002A6370"/>
    <w:rsid w:val="002B309C"/>
    <w:rsid w:val="002B31CC"/>
    <w:rsid w:val="002B460E"/>
    <w:rsid w:val="002B5119"/>
    <w:rsid w:val="002C069F"/>
    <w:rsid w:val="002C1401"/>
    <w:rsid w:val="002C2412"/>
    <w:rsid w:val="002C285E"/>
    <w:rsid w:val="002C5073"/>
    <w:rsid w:val="002C5BFC"/>
    <w:rsid w:val="002D0716"/>
    <w:rsid w:val="002D268D"/>
    <w:rsid w:val="002D62D4"/>
    <w:rsid w:val="002D63FE"/>
    <w:rsid w:val="002D7F24"/>
    <w:rsid w:val="002E07BC"/>
    <w:rsid w:val="002E7081"/>
    <w:rsid w:val="002F0366"/>
    <w:rsid w:val="002F4F0F"/>
    <w:rsid w:val="002F6505"/>
    <w:rsid w:val="00300696"/>
    <w:rsid w:val="003013BD"/>
    <w:rsid w:val="00303EF6"/>
    <w:rsid w:val="0030587B"/>
    <w:rsid w:val="00324CF1"/>
    <w:rsid w:val="003251CF"/>
    <w:rsid w:val="00325945"/>
    <w:rsid w:val="00336C6F"/>
    <w:rsid w:val="00336FEA"/>
    <w:rsid w:val="00343DC8"/>
    <w:rsid w:val="0034480B"/>
    <w:rsid w:val="003454DA"/>
    <w:rsid w:val="00347D6B"/>
    <w:rsid w:val="0035188D"/>
    <w:rsid w:val="003519BB"/>
    <w:rsid w:val="00356D35"/>
    <w:rsid w:val="00361109"/>
    <w:rsid w:val="003641B9"/>
    <w:rsid w:val="00367215"/>
    <w:rsid w:val="00370A27"/>
    <w:rsid w:val="0037213C"/>
    <w:rsid w:val="00372385"/>
    <w:rsid w:val="00375605"/>
    <w:rsid w:val="00376E32"/>
    <w:rsid w:val="003818E0"/>
    <w:rsid w:val="00384D23"/>
    <w:rsid w:val="003913D8"/>
    <w:rsid w:val="0039236C"/>
    <w:rsid w:val="00397A48"/>
    <w:rsid w:val="003A0537"/>
    <w:rsid w:val="003A7FFA"/>
    <w:rsid w:val="003B18B8"/>
    <w:rsid w:val="003B30B5"/>
    <w:rsid w:val="003B65FE"/>
    <w:rsid w:val="003C4CCC"/>
    <w:rsid w:val="003C6E0F"/>
    <w:rsid w:val="003D064E"/>
    <w:rsid w:val="003D06E4"/>
    <w:rsid w:val="003D2275"/>
    <w:rsid w:val="003D33C5"/>
    <w:rsid w:val="003D39BD"/>
    <w:rsid w:val="003D3AD8"/>
    <w:rsid w:val="003D516C"/>
    <w:rsid w:val="003D6D58"/>
    <w:rsid w:val="003E4115"/>
    <w:rsid w:val="003F29EA"/>
    <w:rsid w:val="00400B33"/>
    <w:rsid w:val="004100EA"/>
    <w:rsid w:val="00411A87"/>
    <w:rsid w:val="00414007"/>
    <w:rsid w:val="00423EA3"/>
    <w:rsid w:val="004256C7"/>
    <w:rsid w:val="00425A79"/>
    <w:rsid w:val="00427FF1"/>
    <w:rsid w:val="00430914"/>
    <w:rsid w:val="00432E1D"/>
    <w:rsid w:val="00434395"/>
    <w:rsid w:val="00446D9B"/>
    <w:rsid w:val="0045638A"/>
    <w:rsid w:val="004616C3"/>
    <w:rsid w:val="00461AAD"/>
    <w:rsid w:val="00461B75"/>
    <w:rsid w:val="00462B1E"/>
    <w:rsid w:val="00472675"/>
    <w:rsid w:val="00473D3E"/>
    <w:rsid w:val="004771FB"/>
    <w:rsid w:val="004808E3"/>
    <w:rsid w:val="004813FA"/>
    <w:rsid w:val="004819E6"/>
    <w:rsid w:val="00483005"/>
    <w:rsid w:val="00483129"/>
    <w:rsid w:val="004843EF"/>
    <w:rsid w:val="00484F7D"/>
    <w:rsid w:val="004872A5"/>
    <w:rsid w:val="00491325"/>
    <w:rsid w:val="0049309D"/>
    <w:rsid w:val="004951A0"/>
    <w:rsid w:val="004A22D8"/>
    <w:rsid w:val="004A579B"/>
    <w:rsid w:val="004B0AD8"/>
    <w:rsid w:val="004B76F8"/>
    <w:rsid w:val="004C2E5A"/>
    <w:rsid w:val="004C3EF6"/>
    <w:rsid w:val="004C459D"/>
    <w:rsid w:val="004C50A0"/>
    <w:rsid w:val="004D150B"/>
    <w:rsid w:val="004D3E5A"/>
    <w:rsid w:val="004E1952"/>
    <w:rsid w:val="004E4B98"/>
    <w:rsid w:val="004E587A"/>
    <w:rsid w:val="004F24E8"/>
    <w:rsid w:val="004F495F"/>
    <w:rsid w:val="004F52E4"/>
    <w:rsid w:val="004F73BF"/>
    <w:rsid w:val="00500792"/>
    <w:rsid w:val="00501E21"/>
    <w:rsid w:val="005051FF"/>
    <w:rsid w:val="0050576F"/>
    <w:rsid w:val="00514A0D"/>
    <w:rsid w:val="0052011C"/>
    <w:rsid w:val="00520547"/>
    <w:rsid w:val="00520DC8"/>
    <w:rsid w:val="00520E9B"/>
    <w:rsid w:val="00522C68"/>
    <w:rsid w:val="0052745B"/>
    <w:rsid w:val="00533E10"/>
    <w:rsid w:val="00534418"/>
    <w:rsid w:val="005354E0"/>
    <w:rsid w:val="005365D8"/>
    <w:rsid w:val="005377E5"/>
    <w:rsid w:val="00541AC0"/>
    <w:rsid w:val="0054251B"/>
    <w:rsid w:val="005431FF"/>
    <w:rsid w:val="005446E2"/>
    <w:rsid w:val="00545068"/>
    <w:rsid w:val="00546EEE"/>
    <w:rsid w:val="00556201"/>
    <w:rsid w:val="00556522"/>
    <w:rsid w:val="005566D1"/>
    <w:rsid w:val="00556BB8"/>
    <w:rsid w:val="005613BF"/>
    <w:rsid w:val="005641A8"/>
    <w:rsid w:val="00566127"/>
    <w:rsid w:val="00571F1E"/>
    <w:rsid w:val="00573C01"/>
    <w:rsid w:val="00582060"/>
    <w:rsid w:val="00583182"/>
    <w:rsid w:val="00585254"/>
    <w:rsid w:val="00587EB3"/>
    <w:rsid w:val="0059157A"/>
    <w:rsid w:val="00591C99"/>
    <w:rsid w:val="00591E03"/>
    <w:rsid w:val="00595618"/>
    <w:rsid w:val="005969CF"/>
    <w:rsid w:val="005A0423"/>
    <w:rsid w:val="005A185F"/>
    <w:rsid w:val="005A28DB"/>
    <w:rsid w:val="005A39DC"/>
    <w:rsid w:val="005A650A"/>
    <w:rsid w:val="005A7FF8"/>
    <w:rsid w:val="005B1372"/>
    <w:rsid w:val="005B2BA8"/>
    <w:rsid w:val="005B40AD"/>
    <w:rsid w:val="005B538C"/>
    <w:rsid w:val="005B55F1"/>
    <w:rsid w:val="005B70FD"/>
    <w:rsid w:val="005C024A"/>
    <w:rsid w:val="005C2BC7"/>
    <w:rsid w:val="005C59C6"/>
    <w:rsid w:val="005C61A9"/>
    <w:rsid w:val="005C6DBD"/>
    <w:rsid w:val="005D164E"/>
    <w:rsid w:val="005D3512"/>
    <w:rsid w:val="005D6E2E"/>
    <w:rsid w:val="005E2939"/>
    <w:rsid w:val="005E42D7"/>
    <w:rsid w:val="005E6E70"/>
    <w:rsid w:val="005E7C1E"/>
    <w:rsid w:val="005F12D5"/>
    <w:rsid w:val="005F55AC"/>
    <w:rsid w:val="005F576A"/>
    <w:rsid w:val="005F60AD"/>
    <w:rsid w:val="006000A8"/>
    <w:rsid w:val="00601444"/>
    <w:rsid w:val="00603B7E"/>
    <w:rsid w:val="00603C28"/>
    <w:rsid w:val="006059B7"/>
    <w:rsid w:val="006070F8"/>
    <w:rsid w:val="006072E8"/>
    <w:rsid w:val="00612663"/>
    <w:rsid w:val="006146B8"/>
    <w:rsid w:val="006157FF"/>
    <w:rsid w:val="00617255"/>
    <w:rsid w:val="00620196"/>
    <w:rsid w:val="006202CC"/>
    <w:rsid w:val="006224C1"/>
    <w:rsid w:val="006232DD"/>
    <w:rsid w:val="006233C4"/>
    <w:rsid w:val="00624620"/>
    <w:rsid w:val="00625BCD"/>
    <w:rsid w:val="00626DE5"/>
    <w:rsid w:val="006276D3"/>
    <w:rsid w:val="006336B7"/>
    <w:rsid w:val="006355D7"/>
    <w:rsid w:val="00640308"/>
    <w:rsid w:val="00641DA4"/>
    <w:rsid w:val="00643B1C"/>
    <w:rsid w:val="00643C58"/>
    <w:rsid w:val="006440E6"/>
    <w:rsid w:val="0064675D"/>
    <w:rsid w:val="006550A2"/>
    <w:rsid w:val="00660107"/>
    <w:rsid w:val="0066663D"/>
    <w:rsid w:val="0067096A"/>
    <w:rsid w:val="0067196E"/>
    <w:rsid w:val="0067475D"/>
    <w:rsid w:val="006777A4"/>
    <w:rsid w:val="00681853"/>
    <w:rsid w:val="006833BB"/>
    <w:rsid w:val="0069124A"/>
    <w:rsid w:val="00691501"/>
    <w:rsid w:val="006920C2"/>
    <w:rsid w:val="00693967"/>
    <w:rsid w:val="00694FDB"/>
    <w:rsid w:val="006971CE"/>
    <w:rsid w:val="006A0F18"/>
    <w:rsid w:val="006A25D4"/>
    <w:rsid w:val="006A2ACA"/>
    <w:rsid w:val="006A3ACA"/>
    <w:rsid w:val="006A77C3"/>
    <w:rsid w:val="006B0015"/>
    <w:rsid w:val="006B144A"/>
    <w:rsid w:val="006B1F49"/>
    <w:rsid w:val="006B2EF6"/>
    <w:rsid w:val="006B368F"/>
    <w:rsid w:val="006B38D5"/>
    <w:rsid w:val="006B5C02"/>
    <w:rsid w:val="006B640E"/>
    <w:rsid w:val="006B6AC7"/>
    <w:rsid w:val="006B75FB"/>
    <w:rsid w:val="006C181E"/>
    <w:rsid w:val="006C512F"/>
    <w:rsid w:val="006C6FB4"/>
    <w:rsid w:val="006D019A"/>
    <w:rsid w:val="006D121C"/>
    <w:rsid w:val="006D2562"/>
    <w:rsid w:val="006D39F3"/>
    <w:rsid w:val="006D479B"/>
    <w:rsid w:val="006E02BC"/>
    <w:rsid w:val="006E67E9"/>
    <w:rsid w:val="006F35C5"/>
    <w:rsid w:val="006F473D"/>
    <w:rsid w:val="006F4C52"/>
    <w:rsid w:val="006F567F"/>
    <w:rsid w:val="00701344"/>
    <w:rsid w:val="00702475"/>
    <w:rsid w:val="00704E9F"/>
    <w:rsid w:val="007103BA"/>
    <w:rsid w:val="0071263C"/>
    <w:rsid w:val="007151EA"/>
    <w:rsid w:val="007161AB"/>
    <w:rsid w:val="00716A70"/>
    <w:rsid w:val="00716AC8"/>
    <w:rsid w:val="00720682"/>
    <w:rsid w:val="00723812"/>
    <w:rsid w:val="00733802"/>
    <w:rsid w:val="00734252"/>
    <w:rsid w:val="007349B6"/>
    <w:rsid w:val="00740BC1"/>
    <w:rsid w:val="007419B5"/>
    <w:rsid w:val="00741A77"/>
    <w:rsid w:val="00744AE8"/>
    <w:rsid w:val="00744E2A"/>
    <w:rsid w:val="007506A3"/>
    <w:rsid w:val="007532FC"/>
    <w:rsid w:val="00753D8A"/>
    <w:rsid w:val="007549E9"/>
    <w:rsid w:val="00762A24"/>
    <w:rsid w:val="00763317"/>
    <w:rsid w:val="007700C4"/>
    <w:rsid w:val="0077378B"/>
    <w:rsid w:val="0077471D"/>
    <w:rsid w:val="007772E7"/>
    <w:rsid w:val="00783074"/>
    <w:rsid w:val="00783659"/>
    <w:rsid w:val="007863C9"/>
    <w:rsid w:val="007916F3"/>
    <w:rsid w:val="007924BD"/>
    <w:rsid w:val="00792C66"/>
    <w:rsid w:val="007940D2"/>
    <w:rsid w:val="0079494A"/>
    <w:rsid w:val="00794DBB"/>
    <w:rsid w:val="0079599E"/>
    <w:rsid w:val="007A1945"/>
    <w:rsid w:val="007A3167"/>
    <w:rsid w:val="007A592A"/>
    <w:rsid w:val="007A62B8"/>
    <w:rsid w:val="007A7A94"/>
    <w:rsid w:val="007A7E35"/>
    <w:rsid w:val="007B407A"/>
    <w:rsid w:val="007B77FB"/>
    <w:rsid w:val="007C6B4D"/>
    <w:rsid w:val="007D1045"/>
    <w:rsid w:val="007D34AC"/>
    <w:rsid w:val="007D3AF8"/>
    <w:rsid w:val="007D5C17"/>
    <w:rsid w:val="007E3352"/>
    <w:rsid w:val="007E5251"/>
    <w:rsid w:val="007E754B"/>
    <w:rsid w:val="007E7588"/>
    <w:rsid w:val="007F2857"/>
    <w:rsid w:val="007F2D8E"/>
    <w:rsid w:val="007F5DF7"/>
    <w:rsid w:val="007F70D2"/>
    <w:rsid w:val="00802F99"/>
    <w:rsid w:val="00811411"/>
    <w:rsid w:val="0081408F"/>
    <w:rsid w:val="00815B3E"/>
    <w:rsid w:val="008167A6"/>
    <w:rsid w:val="008174E1"/>
    <w:rsid w:val="008222CC"/>
    <w:rsid w:val="00822FFB"/>
    <w:rsid w:val="0082388E"/>
    <w:rsid w:val="008257F4"/>
    <w:rsid w:val="00826AC7"/>
    <w:rsid w:val="00841D8E"/>
    <w:rsid w:val="00842AFF"/>
    <w:rsid w:val="0084340A"/>
    <w:rsid w:val="0084460A"/>
    <w:rsid w:val="00845A92"/>
    <w:rsid w:val="008475EE"/>
    <w:rsid w:val="00854195"/>
    <w:rsid w:val="0086061A"/>
    <w:rsid w:val="00864BD6"/>
    <w:rsid w:val="00866315"/>
    <w:rsid w:val="0087181F"/>
    <w:rsid w:val="008732CD"/>
    <w:rsid w:val="00877133"/>
    <w:rsid w:val="00882BD4"/>
    <w:rsid w:val="008841B3"/>
    <w:rsid w:val="0089164F"/>
    <w:rsid w:val="00893AAE"/>
    <w:rsid w:val="00896537"/>
    <w:rsid w:val="008A1A24"/>
    <w:rsid w:val="008A4DAD"/>
    <w:rsid w:val="008A5526"/>
    <w:rsid w:val="008A6050"/>
    <w:rsid w:val="008B1B02"/>
    <w:rsid w:val="008B1D33"/>
    <w:rsid w:val="008B4458"/>
    <w:rsid w:val="008B4FB6"/>
    <w:rsid w:val="008B54BA"/>
    <w:rsid w:val="008C47CE"/>
    <w:rsid w:val="008D4161"/>
    <w:rsid w:val="008D6CF5"/>
    <w:rsid w:val="008D75FF"/>
    <w:rsid w:val="008D7B90"/>
    <w:rsid w:val="008E034F"/>
    <w:rsid w:val="008E1B17"/>
    <w:rsid w:val="008E4BAC"/>
    <w:rsid w:val="008E6DDD"/>
    <w:rsid w:val="008F0F48"/>
    <w:rsid w:val="008F10F1"/>
    <w:rsid w:val="008F3F57"/>
    <w:rsid w:val="008F5EDC"/>
    <w:rsid w:val="00907292"/>
    <w:rsid w:val="00907D03"/>
    <w:rsid w:val="00911A04"/>
    <w:rsid w:val="00911A65"/>
    <w:rsid w:val="0091341E"/>
    <w:rsid w:val="009135D1"/>
    <w:rsid w:val="009202FD"/>
    <w:rsid w:val="0092172D"/>
    <w:rsid w:val="00923313"/>
    <w:rsid w:val="00927055"/>
    <w:rsid w:val="00937447"/>
    <w:rsid w:val="0094483E"/>
    <w:rsid w:val="009540C0"/>
    <w:rsid w:val="00954191"/>
    <w:rsid w:val="00955C03"/>
    <w:rsid w:val="00964C39"/>
    <w:rsid w:val="00971956"/>
    <w:rsid w:val="0097384D"/>
    <w:rsid w:val="00974A61"/>
    <w:rsid w:val="00981F38"/>
    <w:rsid w:val="00982730"/>
    <w:rsid w:val="009836E8"/>
    <w:rsid w:val="00986B73"/>
    <w:rsid w:val="00990354"/>
    <w:rsid w:val="00991DED"/>
    <w:rsid w:val="0099486B"/>
    <w:rsid w:val="009950B5"/>
    <w:rsid w:val="009A15B8"/>
    <w:rsid w:val="009A6D7C"/>
    <w:rsid w:val="009A7692"/>
    <w:rsid w:val="009A7EF9"/>
    <w:rsid w:val="009B3F14"/>
    <w:rsid w:val="009C3820"/>
    <w:rsid w:val="009C485E"/>
    <w:rsid w:val="009C7638"/>
    <w:rsid w:val="009C7A80"/>
    <w:rsid w:val="009D091E"/>
    <w:rsid w:val="009D2B02"/>
    <w:rsid w:val="009D2B20"/>
    <w:rsid w:val="009D329D"/>
    <w:rsid w:val="009D401C"/>
    <w:rsid w:val="009E084F"/>
    <w:rsid w:val="009E2811"/>
    <w:rsid w:val="009E49A1"/>
    <w:rsid w:val="009E5B0D"/>
    <w:rsid w:val="009E5F8F"/>
    <w:rsid w:val="009F5606"/>
    <w:rsid w:val="009F5BBA"/>
    <w:rsid w:val="009F6753"/>
    <w:rsid w:val="00A006F5"/>
    <w:rsid w:val="00A009F0"/>
    <w:rsid w:val="00A01D0E"/>
    <w:rsid w:val="00A031BB"/>
    <w:rsid w:val="00A0355A"/>
    <w:rsid w:val="00A07905"/>
    <w:rsid w:val="00A079DA"/>
    <w:rsid w:val="00A10024"/>
    <w:rsid w:val="00A14AFF"/>
    <w:rsid w:val="00A14DAD"/>
    <w:rsid w:val="00A15BC0"/>
    <w:rsid w:val="00A16C29"/>
    <w:rsid w:val="00A22DD3"/>
    <w:rsid w:val="00A25F8A"/>
    <w:rsid w:val="00A32540"/>
    <w:rsid w:val="00A325D5"/>
    <w:rsid w:val="00A32BCE"/>
    <w:rsid w:val="00A4071F"/>
    <w:rsid w:val="00A428E1"/>
    <w:rsid w:val="00A4782A"/>
    <w:rsid w:val="00A511DD"/>
    <w:rsid w:val="00A5455C"/>
    <w:rsid w:val="00A55583"/>
    <w:rsid w:val="00A60332"/>
    <w:rsid w:val="00A62185"/>
    <w:rsid w:val="00A629DB"/>
    <w:rsid w:val="00A675F1"/>
    <w:rsid w:val="00A70282"/>
    <w:rsid w:val="00A72387"/>
    <w:rsid w:val="00A73BB4"/>
    <w:rsid w:val="00A7716B"/>
    <w:rsid w:val="00A863F4"/>
    <w:rsid w:val="00A8686A"/>
    <w:rsid w:val="00A903ED"/>
    <w:rsid w:val="00A94343"/>
    <w:rsid w:val="00A953A9"/>
    <w:rsid w:val="00A95ABF"/>
    <w:rsid w:val="00A95F94"/>
    <w:rsid w:val="00A96734"/>
    <w:rsid w:val="00AA1051"/>
    <w:rsid w:val="00AA6428"/>
    <w:rsid w:val="00AB0A25"/>
    <w:rsid w:val="00AB19A3"/>
    <w:rsid w:val="00AB1D52"/>
    <w:rsid w:val="00AB4313"/>
    <w:rsid w:val="00AC6B0F"/>
    <w:rsid w:val="00AC6EC6"/>
    <w:rsid w:val="00AD44A4"/>
    <w:rsid w:val="00AD44C5"/>
    <w:rsid w:val="00AE1068"/>
    <w:rsid w:val="00AE1DFB"/>
    <w:rsid w:val="00AE279F"/>
    <w:rsid w:val="00AE3969"/>
    <w:rsid w:val="00AE4BA5"/>
    <w:rsid w:val="00AE517B"/>
    <w:rsid w:val="00AE6FC3"/>
    <w:rsid w:val="00AF0714"/>
    <w:rsid w:val="00AF2C70"/>
    <w:rsid w:val="00AF33F0"/>
    <w:rsid w:val="00AF5517"/>
    <w:rsid w:val="00AF7BCE"/>
    <w:rsid w:val="00B0088D"/>
    <w:rsid w:val="00B072D5"/>
    <w:rsid w:val="00B10150"/>
    <w:rsid w:val="00B117F8"/>
    <w:rsid w:val="00B11EC0"/>
    <w:rsid w:val="00B12E0E"/>
    <w:rsid w:val="00B12E33"/>
    <w:rsid w:val="00B2664F"/>
    <w:rsid w:val="00B316E4"/>
    <w:rsid w:val="00B31966"/>
    <w:rsid w:val="00B33A4A"/>
    <w:rsid w:val="00B34495"/>
    <w:rsid w:val="00B35DBC"/>
    <w:rsid w:val="00B41FBF"/>
    <w:rsid w:val="00B42967"/>
    <w:rsid w:val="00B469EA"/>
    <w:rsid w:val="00B46E6E"/>
    <w:rsid w:val="00B500D0"/>
    <w:rsid w:val="00B550B4"/>
    <w:rsid w:val="00B555F2"/>
    <w:rsid w:val="00B55C8C"/>
    <w:rsid w:val="00B5677A"/>
    <w:rsid w:val="00B612DB"/>
    <w:rsid w:val="00B655E0"/>
    <w:rsid w:val="00B65AB1"/>
    <w:rsid w:val="00B7073B"/>
    <w:rsid w:val="00B712A5"/>
    <w:rsid w:val="00B745FD"/>
    <w:rsid w:val="00B750C9"/>
    <w:rsid w:val="00B77552"/>
    <w:rsid w:val="00B810F2"/>
    <w:rsid w:val="00B81F92"/>
    <w:rsid w:val="00B86AF7"/>
    <w:rsid w:val="00B91958"/>
    <w:rsid w:val="00B940C2"/>
    <w:rsid w:val="00B9518C"/>
    <w:rsid w:val="00B957A9"/>
    <w:rsid w:val="00B96F95"/>
    <w:rsid w:val="00B97248"/>
    <w:rsid w:val="00B97AE8"/>
    <w:rsid w:val="00B97E26"/>
    <w:rsid w:val="00BA31F5"/>
    <w:rsid w:val="00BA6D2A"/>
    <w:rsid w:val="00BB41A9"/>
    <w:rsid w:val="00BB60CE"/>
    <w:rsid w:val="00BB72EF"/>
    <w:rsid w:val="00BC0897"/>
    <w:rsid w:val="00BC0AB7"/>
    <w:rsid w:val="00BC3274"/>
    <w:rsid w:val="00BC3E53"/>
    <w:rsid w:val="00BC66FC"/>
    <w:rsid w:val="00BC6A7D"/>
    <w:rsid w:val="00BD0388"/>
    <w:rsid w:val="00BD0A74"/>
    <w:rsid w:val="00BD2786"/>
    <w:rsid w:val="00BD2C2A"/>
    <w:rsid w:val="00BD4C89"/>
    <w:rsid w:val="00BE0FF8"/>
    <w:rsid w:val="00BE5BA7"/>
    <w:rsid w:val="00BE6747"/>
    <w:rsid w:val="00BE702C"/>
    <w:rsid w:val="00BE7998"/>
    <w:rsid w:val="00BF0C93"/>
    <w:rsid w:val="00BF147C"/>
    <w:rsid w:val="00BF3645"/>
    <w:rsid w:val="00BF3A7B"/>
    <w:rsid w:val="00BF5638"/>
    <w:rsid w:val="00C00856"/>
    <w:rsid w:val="00C009AE"/>
    <w:rsid w:val="00C10E9A"/>
    <w:rsid w:val="00C13C45"/>
    <w:rsid w:val="00C16012"/>
    <w:rsid w:val="00C21E25"/>
    <w:rsid w:val="00C24EF8"/>
    <w:rsid w:val="00C26F16"/>
    <w:rsid w:val="00C27969"/>
    <w:rsid w:val="00C329E2"/>
    <w:rsid w:val="00C33FBA"/>
    <w:rsid w:val="00C43614"/>
    <w:rsid w:val="00C45D19"/>
    <w:rsid w:val="00C46E84"/>
    <w:rsid w:val="00C52356"/>
    <w:rsid w:val="00C541AF"/>
    <w:rsid w:val="00C54745"/>
    <w:rsid w:val="00C5485B"/>
    <w:rsid w:val="00C54F23"/>
    <w:rsid w:val="00C56535"/>
    <w:rsid w:val="00C56ECE"/>
    <w:rsid w:val="00C579B3"/>
    <w:rsid w:val="00C57CD1"/>
    <w:rsid w:val="00C63094"/>
    <w:rsid w:val="00C64F03"/>
    <w:rsid w:val="00C66147"/>
    <w:rsid w:val="00C6788D"/>
    <w:rsid w:val="00C714B4"/>
    <w:rsid w:val="00C71C9E"/>
    <w:rsid w:val="00C72613"/>
    <w:rsid w:val="00C75E83"/>
    <w:rsid w:val="00C77885"/>
    <w:rsid w:val="00C8050A"/>
    <w:rsid w:val="00C81C39"/>
    <w:rsid w:val="00C90DC0"/>
    <w:rsid w:val="00C926F3"/>
    <w:rsid w:val="00CA0135"/>
    <w:rsid w:val="00CA4D86"/>
    <w:rsid w:val="00CA4F67"/>
    <w:rsid w:val="00CB0212"/>
    <w:rsid w:val="00CB2B11"/>
    <w:rsid w:val="00CB61A6"/>
    <w:rsid w:val="00CB6395"/>
    <w:rsid w:val="00CB6499"/>
    <w:rsid w:val="00CB6F46"/>
    <w:rsid w:val="00CC1D69"/>
    <w:rsid w:val="00CC3B3A"/>
    <w:rsid w:val="00CC4CDA"/>
    <w:rsid w:val="00CC5565"/>
    <w:rsid w:val="00CC6FFF"/>
    <w:rsid w:val="00CD4286"/>
    <w:rsid w:val="00CD6DFE"/>
    <w:rsid w:val="00CD77FA"/>
    <w:rsid w:val="00CE1D97"/>
    <w:rsid w:val="00CE36FF"/>
    <w:rsid w:val="00CE4A51"/>
    <w:rsid w:val="00CE530B"/>
    <w:rsid w:val="00CF14A8"/>
    <w:rsid w:val="00CF3D36"/>
    <w:rsid w:val="00CF7B21"/>
    <w:rsid w:val="00CF7E03"/>
    <w:rsid w:val="00D01B36"/>
    <w:rsid w:val="00D04F09"/>
    <w:rsid w:val="00D04FE9"/>
    <w:rsid w:val="00D0628A"/>
    <w:rsid w:val="00D06B90"/>
    <w:rsid w:val="00D07718"/>
    <w:rsid w:val="00D079A0"/>
    <w:rsid w:val="00D12654"/>
    <w:rsid w:val="00D12EB6"/>
    <w:rsid w:val="00D16420"/>
    <w:rsid w:val="00D212D3"/>
    <w:rsid w:val="00D23312"/>
    <w:rsid w:val="00D2394E"/>
    <w:rsid w:val="00D24BC6"/>
    <w:rsid w:val="00D2662D"/>
    <w:rsid w:val="00D266B9"/>
    <w:rsid w:val="00D3104C"/>
    <w:rsid w:val="00D42E3E"/>
    <w:rsid w:val="00D4418F"/>
    <w:rsid w:val="00D472A9"/>
    <w:rsid w:val="00D52ACB"/>
    <w:rsid w:val="00D556DB"/>
    <w:rsid w:val="00D57136"/>
    <w:rsid w:val="00D60249"/>
    <w:rsid w:val="00D63D8E"/>
    <w:rsid w:val="00D66C9D"/>
    <w:rsid w:val="00D66CA1"/>
    <w:rsid w:val="00D702E3"/>
    <w:rsid w:val="00D816EF"/>
    <w:rsid w:val="00D83ADB"/>
    <w:rsid w:val="00D8621E"/>
    <w:rsid w:val="00D87F50"/>
    <w:rsid w:val="00D90B99"/>
    <w:rsid w:val="00D972BB"/>
    <w:rsid w:val="00D975C7"/>
    <w:rsid w:val="00D97859"/>
    <w:rsid w:val="00DA18F1"/>
    <w:rsid w:val="00DA20F3"/>
    <w:rsid w:val="00DA2C41"/>
    <w:rsid w:val="00DA3581"/>
    <w:rsid w:val="00DB32E3"/>
    <w:rsid w:val="00DB4FA9"/>
    <w:rsid w:val="00DB772E"/>
    <w:rsid w:val="00DC0BE9"/>
    <w:rsid w:val="00DC2EA8"/>
    <w:rsid w:val="00DC55C6"/>
    <w:rsid w:val="00DD1D5F"/>
    <w:rsid w:val="00DD248D"/>
    <w:rsid w:val="00DD3DCC"/>
    <w:rsid w:val="00DD7F53"/>
    <w:rsid w:val="00DE0A19"/>
    <w:rsid w:val="00DE278C"/>
    <w:rsid w:val="00DE3BA2"/>
    <w:rsid w:val="00DE5C2D"/>
    <w:rsid w:val="00DF3089"/>
    <w:rsid w:val="00DF6CD2"/>
    <w:rsid w:val="00E01235"/>
    <w:rsid w:val="00E02E53"/>
    <w:rsid w:val="00E03CB7"/>
    <w:rsid w:val="00E056D5"/>
    <w:rsid w:val="00E06E7D"/>
    <w:rsid w:val="00E12242"/>
    <w:rsid w:val="00E12F16"/>
    <w:rsid w:val="00E146AE"/>
    <w:rsid w:val="00E153C2"/>
    <w:rsid w:val="00E15781"/>
    <w:rsid w:val="00E16CE4"/>
    <w:rsid w:val="00E176FB"/>
    <w:rsid w:val="00E17B06"/>
    <w:rsid w:val="00E2075B"/>
    <w:rsid w:val="00E21013"/>
    <w:rsid w:val="00E24558"/>
    <w:rsid w:val="00E24A1F"/>
    <w:rsid w:val="00E25FFA"/>
    <w:rsid w:val="00E30C1C"/>
    <w:rsid w:val="00E32064"/>
    <w:rsid w:val="00E3274E"/>
    <w:rsid w:val="00E329F3"/>
    <w:rsid w:val="00E33BEF"/>
    <w:rsid w:val="00E3487F"/>
    <w:rsid w:val="00E3500F"/>
    <w:rsid w:val="00E378C2"/>
    <w:rsid w:val="00E42267"/>
    <w:rsid w:val="00E43F1B"/>
    <w:rsid w:val="00E44CFA"/>
    <w:rsid w:val="00E46961"/>
    <w:rsid w:val="00E53936"/>
    <w:rsid w:val="00E558CA"/>
    <w:rsid w:val="00E60898"/>
    <w:rsid w:val="00E61B18"/>
    <w:rsid w:val="00E645F8"/>
    <w:rsid w:val="00E67B61"/>
    <w:rsid w:val="00E67D12"/>
    <w:rsid w:val="00E732AE"/>
    <w:rsid w:val="00E73305"/>
    <w:rsid w:val="00E73F54"/>
    <w:rsid w:val="00E7576C"/>
    <w:rsid w:val="00E76E7A"/>
    <w:rsid w:val="00E7763A"/>
    <w:rsid w:val="00E77EB4"/>
    <w:rsid w:val="00E90CE1"/>
    <w:rsid w:val="00E93308"/>
    <w:rsid w:val="00E936C3"/>
    <w:rsid w:val="00E9609E"/>
    <w:rsid w:val="00E96FDB"/>
    <w:rsid w:val="00E972F1"/>
    <w:rsid w:val="00EA3BE2"/>
    <w:rsid w:val="00EA3CEE"/>
    <w:rsid w:val="00EA5899"/>
    <w:rsid w:val="00EA6333"/>
    <w:rsid w:val="00EB0C52"/>
    <w:rsid w:val="00EB0D15"/>
    <w:rsid w:val="00EB121D"/>
    <w:rsid w:val="00EB254F"/>
    <w:rsid w:val="00EB691D"/>
    <w:rsid w:val="00EC31BE"/>
    <w:rsid w:val="00EC3537"/>
    <w:rsid w:val="00ED24A5"/>
    <w:rsid w:val="00ED3DFE"/>
    <w:rsid w:val="00ED58C3"/>
    <w:rsid w:val="00ED5A2D"/>
    <w:rsid w:val="00ED785C"/>
    <w:rsid w:val="00EE05F9"/>
    <w:rsid w:val="00EE1D84"/>
    <w:rsid w:val="00EE2847"/>
    <w:rsid w:val="00EF0CE0"/>
    <w:rsid w:val="00EF2473"/>
    <w:rsid w:val="00F029DA"/>
    <w:rsid w:val="00F042D3"/>
    <w:rsid w:val="00F043C2"/>
    <w:rsid w:val="00F05072"/>
    <w:rsid w:val="00F06417"/>
    <w:rsid w:val="00F06446"/>
    <w:rsid w:val="00F109DF"/>
    <w:rsid w:val="00F145FA"/>
    <w:rsid w:val="00F26756"/>
    <w:rsid w:val="00F27E41"/>
    <w:rsid w:val="00F30526"/>
    <w:rsid w:val="00F30BD7"/>
    <w:rsid w:val="00F3212C"/>
    <w:rsid w:val="00F32686"/>
    <w:rsid w:val="00F33484"/>
    <w:rsid w:val="00F3521E"/>
    <w:rsid w:val="00F408BC"/>
    <w:rsid w:val="00F40FFB"/>
    <w:rsid w:val="00F43E38"/>
    <w:rsid w:val="00F4483C"/>
    <w:rsid w:val="00F52ABA"/>
    <w:rsid w:val="00F542B8"/>
    <w:rsid w:val="00F568E9"/>
    <w:rsid w:val="00F56915"/>
    <w:rsid w:val="00F576DF"/>
    <w:rsid w:val="00F6063C"/>
    <w:rsid w:val="00F615CA"/>
    <w:rsid w:val="00F62601"/>
    <w:rsid w:val="00F63105"/>
    <w:rsid w:val="00F65847"/>
    <w:rsid w:val="00F71384"/>
    <w:rsid w:val="00F730E1"/>
    <w:rsid w:val="00F7727A"/>
    <w:rsid w:val="00F80444"/>
    <w:rsid w:val="00F85228"/>
    <w:rsid w:val="00F853C1"/>
    <w:rsid w:val="00F93523"/>
    <w:rsid w:val="00F946F3"/>
    <w:rsid w:val="00F95710"/>
    <w:rsid w:val="00F97A4C"/>
    <w:rsid w:val="00FA3FB7"/>
    <w:rsid w:val="00FA591E"/>
    <w:rsid w:val="00FA5EB2"/>
    <w:rsid w:val="00FB063C"/>
    <w:rsid w:val="00FB07F9"/>
    <w:rsid w:val="00FB28B6"/>
    <w:rsid w:val="00FB6239"/>
    <w:rsid w:val="00FC3028"/>
    <w:rsid w:val="00FC36C9"/>
    <w:rsid w:val="00FC3F4B"/>
    <w:rsid w:val="00FC6CA2"/>
    <w:rsid w:val="00FC6F6E"/>
    <w:rsid w:val="00FC7E1B"/>
    <w:rsid w:val="00FD18E0"/>
    <w:rsid w:val="00FD24B5"/>
    <w:rsid w:val="00FD4066"/>
    <w:rsid w:val="00FD5B6A"/>
    <w:rsid w:val="00FE609A"/>
    <w:rsid w:val="00FE75AF"/>
    <w:rsid w:val="00FE78E3"/>
    <w:rsid w:val="00FE7CB4"/>
    <w:rsid w:val="00FF63C2"/>
    <w:rsid w:val="014852B3"/>
    <w:rsid w:val="01F47C63"/>
    <w:rsid w:val="02092C94"/>
    <w:rsid w:val="021653B1"/>
    <w:rsid w:val="0224187C"/>
    <w:rsid w:val="02467A44"/>
    <w:rsid w:val="02CE3403"/>
    <w:rsid w:val="03115251"/>
    <w:rsid w:val="04314CD4"/>
    <w:rsid w:val="05373674"/>
    <w:rsid w:val="05597A8E"/>
    <w:rsid w:val="06AE7966"/>
    <w:rsid w:val="072B1CC7"/>
    <w:rsid w:val="075C73C2"/>
    <w:rsid w:val="09EA39AB"/>
    <w:rsid w:val="0A761E33"/>
    <w:rsid w:val="0A7E1736"/>
    <w:rsid w:val="0C662A91"/>
    <w:rsid w:val="0D576FA9"/>
    <w:rsid w:val="0EA5692D"/>
    <w:rsid w:val="0F3D51EB"/>
    <w:rsid w:val="0F670FFA"/>
    <w:rsid w:val="0FE60171"/>
    <w:rsid w:val="10A83678"/>
    <w:rsid w:val="11943BFC"/>
    <w:rsid w:val="11F34DC7"/>
    <w:rsid w:val="122619C6"/>
    <w:rsid w:val="139323BD"/>
    <w:rsid w:val="141554C8"/>
    <w:rsid w:val="1461070D"/>
    <w:rsid w:val="15EF58A5"/>
    <w:rsid w:val="16F3737F"/>
    <w:rsid w:val="17EE050A"/>
    <w:rsid w:val="18422604"/>
    <w:rsid w:val="18A137CE"/>
    <w:rsid w:val="191243F8"/>
    <w:rsid w:val="192678B5"/>
    <w:rsid w:val="1A69031C"/>
    <w:rsid w:val="1A9829AF"/>
    <w:rsid w:val="1AC94917"/>
    <w:rsid w:val="1BEA548C"/>
    <w:rsid w:val="1C0425FA"/>
    <w:rsid w:val="1DC13C56"/>
    <w:rsid w:val="1EB11541"/>
    <w:rsid w:val="1EB24750"/>
    <w:rsid w:val="1EC51899"/>
    <w:rsid w:val="1F3A5DE3"/>
    <w:rsid w:val="201766EC"/>
    <w:rsid w:val="20401B1F"/>
    <w:rsid w:val="20F546B7"/>
    <w:rsid w:val="210B2875"/>
    <w:rsid w:val="21313216"/>
    <w:rsid w:val="21E60529"/>
    <w:rsid w:val="220B7F0B"/>
    <w:rsid w:val="223E3E3C"/>
    <w:rsid w:val="227C4964"/>
    <w:rsid w:val="22D24584"/>
    <w:rsid w:val="231560F9"/>
    <w:rsid w:val="240510B5"/>
    <w:rsid w:val="25675458"/>
    <w:rsid w:val="25695674"/>
    <w:rsid w:val="256E67E6"/>
    <w:rsid w:val="267E4318"/>
    <w:rsid w:val="26BD2C79"/>
    <w:rsid w:val="26D80A4D"/>
    <w:rsid w:val="27561C28"/>
    <w:rsid w:val="27B54576"/>
    <w:rsid w:val="28090510"/>
    <w:rsid w:val="281C69CE"/>
    <w:rsid w:val="29485358"/>
    <w:rsid w:val="2AB131C7"/>
    <w:rsid w:val="2C0B2FE1"/>
    <w:rsid w:val="2C5F332D"/>
    <w:rsid w:val="2DA37249"/>
    <w:rsid w:val="2DEE4B79"/>
    <w:rsid w:val="2F0B779C"/>
    <w:rsid w:val="2F16301F"/>
    <w:rsid w:val="2F506494"/>
    <w:rsid w:val="2FC736C3"/>
    <w:rsid w:val="30703AF6"/>
    <w:rsid w:val="33182487"/>
    <w:rsid w:val="332D45FC"/>
    <w:rsid w:val="33EC194A"/>
    <w:rsid w:val="342E4B48"/>
    <w:rsid w:val="348A4CBF"/>
    <w:rsid w:val="349F12A0"/>
    <w:rsid w:val="355D6942"/>
    <w:rsid w:val="356674DA"/>
    <w:rsid w:val="35E46651"/>
    <w:rsid w:val="35E548A3"/>
    <w:rsid w:val="36590DED"/>
    <w:rsid w:val="36DD37CC"/>
    <w:rsid w:val="384A30E3"/>
    <w:rsid w:val="388F2FC2"/>
    <w:rsid w:val="38DB01DF"/>
    <w:rsid w:val="3902086B"/>
    <w:rsid w:val="391F78F8"/>
    <w:rsid w:val="39644FDC"/>
    <w:rsid w:val="39763BA5"/>
    <w:rsid w:val="39A93AB6"/>
    <w:rsid w:val="39B34798"/>
    <w:rsid w:val="3A045513"/>
    <w:rsid w:val="3A824DB6"/>
    <w:rsid w:val="3A86725B"/>
    <w:rsid w:val="3AD76652"/>
    <w:rsid w:val="3B73192F"/>
    <w:rsid w:val="3BB05953"/>
    <w:rsid w:val="3D421874"/>
    <w:rsid w:val="3D5663B5"/>
    <w:rsid w:val="3EB176DA"/>
    <w:rsid w:val="3F744EE9"/>
    <w:rsid w:val="3F8213B4"/>
    <w:rsid w:val="40CF687B"/>
    <w:rsid w:val="40DF6392"/>
    <w:rsid w:val="41173D7E"/>
    <w:rsid w:val="416F3BBA"/>
    <w:rsid w:val="4194717D"/>
    <w:rsid w:val="42312C1E"/>
    <w:rsid w:val="43B74C9E"/>
    <w:rsid w:val="43C22C39"/>
    <w:rsid w:val="44A1314C"/>
    <w:rsid w:val="45012D7B"/>
    <w:rsid w:val="45120AE5"/>
    <w:rsid w:val="45884ABD"/>
    <w:rsid w:val="4621309D"/>
    <w:rsid w:val="469F10E7"/>
    <w:rsid w:val="46AF3F6A"/>
    <w:rsid w:val="46CB1893"/>
    <w:rsid w:val="46DF1E8B"/>
    <w:rsid w:val="47BB50AD"/>
    <w:rsid w:val="47E74E0A"/>
    <w:rsid w:val="48AA1953"/>
    <w:rsid w:val="48D34A2F"/>
    <w:rsid w:val="48FA6149"/>
    <w:rsid w:val="49303C2F"/>
    <w:rsid w:val="49342464"/>
    <w:rsid w:val="4A263E0C"/>
    <w:rsid w:val="4ACC5BD9"/>
    <w:rsid w:val="4ACC7988"/>
    <w:rsid w:val="4BB548C0"/>
    <w:rsid w:val="4C177E36"/>
    <w:rsid w:val="4C215AB1"/>
    <w:rsid w:val="4C8E14F5"/>
    <w:rsid w:val="4CFB19D0"/>
    <w:rsid w:val="4D5C3CCD"/>
    <w:rsid w:val="4D7F2A21"/>
    <w:rsid w:val="4D970721"/>
    <w:rsid w:val="4DA70238"/>
    <w:rsid w:val="4E2B2C17"/>
    <w:rsid w:val="4E3B72FE"/>
    <w:rsid w:val="4EBB7EAC"/>
    <w:rsid w:val="4F8F4094"/>
    <w:rsid w:val="4FAD5FDA"/>
    <w:rsid w:val="51691527"/>
    <w:rsid w:val="52304CA0"/>
    <w:rsid w:val="530F6FAB"/>
    <w:rsid w:val="5382296C"/>
    <w:rsid w:val="53A46B09"/>
    <w:rsid w:val="54DF42FD"/>
    <w:rsid w:val="54FE55B0"/>
    <w:rsid w:val="557E5D22"/>
    <w:rsid w:val="55F27E8A"/>
    <w:rsid w:val="55FD758F"/>
    <w:rsid w:val="563760B0"/>
    <w:rsid w:val="587F6039"/>
    <w:rsid w:val="58A75590"/>
    <w:rsid w:val="58B008E9"/>
    <w:rsid w:val="58C77F21"/>
    <w:rsid w:val="591E1CF6"/>
    <w:rsid w:val="5A4E660B"/>
    <w:rsid w:val="5B21162A"/>
    <w:rsid w:val="5C685F8B"/>
    <w:rsid w:val="5CBB7923"/>
    <w:rsid w:val="5D9E6F62"/>
    <w:rsid w:val="5DAD53F7"/>
    <w:rsid w:val="5DF00B02"/>
    <w:rsid w:val="5E1530B4"/>
    <w:rsid w:val="5E421185"/>
    <w:rsid w:val="5EC46E9C"/>
    <w:rsid w:val="5FB65C84"/>
    <w:rsid w:val="604F6DBF"/>
    <w:rsid w:val="60AE7E03"/>
    <w:rsid w:val="61664BB5"/>
    <w:rsid w:val="61673390"/>
    <w:rsid w:val="618E3791"/>
    <w:rsid w:val="61C96577"/>
    <w:rsid w:val="61F45CEA"/>
    <w:rsid w:val="626C4B55"/>
    <w:rsid w:val="62CF1F7A"/>
    <w:rsid w:val="640279C0"/>
    <w:rsid w:val="6413D5E6"/>
    <w:rsid w:val="64472F35"/>
    <w:rsid w:val="64721148"/>
    <w:rsid w:val="652A1A23"/>
    <w:rsid w:val="68962C71"/>
    <w:rsid w:val="698C1938"/>
    <w:rsid w:val="69E623BC"/>
    <w:rsid w:val="6A935974"/>
    <w:rsid w:val="6BB01E7E"/>
    <w:rsid w:val="6C684A1E"/>
    <w:rsid w:val="6C727F37"/>
    <w:rsid w:val="6CFC5A53"/>
    <w:rsid w:val="6D0B2F7E"/>
    <w:rsid w:val="6D511EF5"/>
    <w:rsid w:val="6D6D6A98"/>
    <w:rsid w:val="6D797921"/>
    <w:rsid w:val="6E7F2DDF"/>
    <w:rsid w:val="6E825EA9"/>
    <w:rsid w:val="6EA31E0C"/>
    <w:rsid w:val="6EED1AF7"/>
    <w:rsid w:val="6F947D87"/>
    <w:rsid w:val="70A628A5"/>
    <w:rsid w:val="70A710F0"/>
    <w:rsid w:val="70ED2282"/>
    <w:rsid w:val="71374D66"/>
    <w:rsid w:val="727F33AE"/>
    <w:rsid w:val="730438B3"/>
    <w:rsid w:val="75AC4782"/>
    <w:rsid w:val="75E03470"/>
    <w:rsid w:val="770E4045"/>
    <w:rsid w:val="77FF1459"/>
    <w:rsid w:val="78232A2D"/>
    <w:rsid w:val="782A3DBC"/>
    <w:rsid w:val="785B531C"/>
    <w:rsid w:val="790F4D60"/>
    <w:rsid w:val="796C3F60"/>
    <w:rsid w:val="7A592736"/>
    <w:rsid w:val="7B735A7A"/>
    <w:rsid w:val="7BEA6C58"/>
    <w:rsid w:val="7F247147"/>
    <w:rsid w:val="7F5A8827"/>
    <w:rsid w:val="7F9B6BED"/>
    <w:rsid w:val="AD737864"/>
    <w:rsid w:val="B7BFC828"/>
    <w:rsid w:val="BA5BDE74"/>
    <w:rsid w:val="BD7F809C"/>
    <w:rsid w:val="BFDFF1F1"/>
    <w:rsid w:val="EBD41A97"/>
    <w:rsid w:val="EBDEB3C5"/>
    <w:rsid w:val="F7E55135"/>
    <w:rsid w:val="FEFECE5D"/>
    <w:rsid w:val="FFB51B10"/>
    <w:rsid w:val="FFEF66A3"/>
    <w:rsid w:val="FFFDC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rFonts w:ascii="Calibri" w:hAnsi="Calibri" w:cs="Times New Roman"/>
      <w:b/>
      <w:bCs/>
      <w:kern w:val="44"/>
      <w:sz w:val="44"/>
      <w:szCs w:val="44"/>
    </w:rPr>
  </w:style>
  <w:style w:type="paragraph" w:styleId="3">
    <w:name w:val="heading 2"/>
    <w:basedOn w:val="1"/>
    <w:next w:val="1"/>
    <w:link w:val="40"/>
    <w:qFormat/>
    <w:uiPriority w:val="0"/>
    <w:pPr>
      <w:keepNext/>
      <w:keepLines/>
      <w:widowControl w:val="0"/>
      <w:autoSpaceDE w:val="0"/>
      <w:autoSpaceDN w:val="0"/>
      <w:adjustRightInd w:val="0"/>
      <w:spacing w:before="120" w:line="300" w:lineRule="auto"/>
      <w:ind w:left="4546" w:hanging="576"/>
      <w:outlineLvl w:val="1"/>
    </w:pPr>
    <w:rPr>
      <w:rFonts w:ascii="Arial" w:hAnsi="Arial" w:eastAsia="黑体" w:cs="Times New Roman"/>
      <w:b/>
      <w:sz w:val="30"/>
      <w:szCs w:val="20"/>
    </w:rPr>
  </w:style>
  <w:style w:type="paragraph" w:styleId="4">
    <w:name w:val="heading 3"/>
    <w:basedOn w:val="1"/>
    <w:next w:val="1"/>
    <w:link w:val="42"/>
    <w:qFormat/>
    <w:uiPriority w:val="0"/>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paragraph" w:styleId="5">
    <w:name w:val="heading 4"/>
    <w:basedOn w:val="4"/>
    <w:next w:val="1"/>
    <w:unhideWhenUsed/>
    <w:qFormat/>
    <w:uiPriority w:val="9"/>
    <w:pPr>
      <w:outlineLvl w:val="3"/>
    </w:pPr>
    <w:rPr>
      <w:sz w:val="24"/>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cs="Times New Roman"/>
    </w:rPr>
  </w:style>
  <w:style w:type="paragraph" w:styleId="7">
    <w:name w:val="Normal Indent"/>
    <w:basedOn w:val="1"/>
    <w:link w:val="41"/>
    <w:qFormat/>
    <w:uiPriority w:val="0"/>
    <w:pPr>
      <w:widowControl w:val="0"/>
      <w:autoSpaceDE w:val="0"/>
      <w:autoSpaceDN w:val="0"/>
      <w:adjustRightInd w:val="0"/>
      <w:ind w:firstLine="420"/>
    </w:pPr>
    <w:rPr>
      <w:rFonts w:hAnsi="Times New Roman" w:cs="Times New Roman"/>
      <w:szCs w:val="20"/>
    </w:rPr>
  </w:style>
  <w:style w:type="paragraph" w:styleId="8">
    <w:name w:val="Document Map"/>
    <w:basedOn w:val="1"/>
    <w:link w:val="43"/>
    <w:unhideWhenUsed/>
    <w:qFormat/>
    <w:uiPriority w:val="99"/>
    <w:rPr>
      <w:rFonts w:hAnsi="Times New Roman" w:cs="Times New Roman"/>
      <w:kern w:val="2"/>
      <w:sz w:val="18"/>
      <w:szCs w:val="18"/>
    </w:rPr>
  </w:style>
  <w:style w:type="paragraph" w:styleId="9">
    <w:name w:val="toa heading"/>
    <w:basedOn w:val="1"/>
    <w:next w:val="1"/>
    <w:qFormat/>
    <w:uiPriority w:val="0"/>
    <w:pPr>
      <w:widowControl w:val="0"/>
      <w:spacing w:before="120"/>
      <w:jc w:val="both"/>
    </w:pPr>
    <w:rPr>
      <w:rFonts w:ascii="Arial" w:hAnsi="Arial" w:cs="Times New Roman"/>
      <w:kern w:val="2"/>
      <w:szCs w:val="20"/>
    </w:rPr>
  </w:style>
  <w:style w:type="paragraph" w:styleId="10">
    <w:name w:val="annotation text"/>
    <w:basedOn w:val="1"/>
    <w:link w:val="44"/>
    <w:unhideWhenUsed/>
    <w:qFormat/>
    <w:uiPriority w:val="99"/>
    <w:rPr>
      <w:rFonts w:ascii="Calibri" w:hAnsi="Calibri" w:cs="Times New Roman"/>
      <w:kern w:val="2"/>
      <w:sz w:val="21"/>
      <w:szCs w:val="22"/>
    </w:rPr>
  </w:style>
  <w:style w:type="paragraph" w:styleId="11">
    <w:name w:val="Body Text"/>
    <w:basedOn w:val="1"/>
    <w:next w:val="1"/>
    <w:link w:val="45"/>
    <w:qFormat/>
    <w:uiPriority w:val="1"/>
    <w:pPr>
      <w:widowControl w:val="0"/>
      <w:autoSpaceDE w:val="0"/>
      <w:autoSpaceDN w:val="0"/>
      <w:ind w:left="240"/>
    </w:pPr>
  </w:style>
  <w:style w:type="paragraph" w:styleId="12">
    <w:name w:val="Body Text Indent"/>
    <w:basedOn w:val="1"/>
    <w:qFormat/>
    <w:uiPriority w:val="0"/>
    <w:pPr>
      <w:spacing w:after="120"/>
      <w:ind w:left="420" w:leftChars="200"/>
    </w:pPr>
  </w:style>
  <w:style w:type="paragraph" w:styleId="13">
    <w:name w:val="toc 5"/>
    <w:basedOn w:val="1"/>
    <w:next w:val="1"/>
    <w:unhideWhenUsed/>
    <w:qFormat/>
    <w:uiPriority w:val="39"/>
    <w:pPr>
      <w:ind w:left="1680" w:leftChars="800"/>
    </w:pPr>
    <w:rPr>
      <w:rFonts w:ascii="Calibri" w:hAnsi="Calibri" w:cs="Times New Roman"/>
    </w:rPr>
  </w:style>
  <w:style w:type="paragraph" w:styleId="14">
    <w:name w:val="toc 3"/>
    <w:basedOn w:val="1"/>
    <w:next w:val="1"/>
    <w:unhideWhenUsed/>
    <w:qFormat/>
    <w:uiPriority w:val="39"/>
    <w:pPr>
      <w:ind w:left="840" w:leftChars="400"/>
    </w:pPr>
    <w:rPr>
      <w:rFonts w:ascii="Calibri" w:hAnsi="Calibri" w:cs="Times New Roman"/>
    </w:rPr>
  </w:style>
  <w:style w:type="paragraph" w:styleId="15">
    <w:name w:val="Plain Text"/>
    <w:basedOn w:val="1"/>
    <w:link w:val="46"/>
    <w:qFormat/>
    <w:uiPriority w:val="0"/>
    <w:pPr>
      <w:widowControl w:val="0"/>
      <w:jc w:val="both"/>
    </w:pPr>
    <w:rPr>
      <w:rFonts w:hAnsi="Courier New" w:cs="Times New Roman"/>
      <w:kern w:val="2"/>
      <w:sz w:val="21"/>
      <w:szCs w:val="20"/>
    </w:rPr>
  </w:style>
  <w:style w:type="paragraph" w:styleId="16">
    <w:name w:val="toc 8"/>
    <w:basedOn w:val="1"/>
    <w:next w:val="1"/>
    <w:unhideWhenUsed/>
    <w:qFormat/>
    <w:uiPriority w:val="39"/>
    <w:pPr>
      <w:ind w:left="2940" w:leftChars="1400"/>
    </w:pPr>
    <w:rPr>
      <w:rFonts w:ascii="Calibri" w:hAnsi="Calibri" w:cs="Times New Roman"/>
    </w:rPr>
  </w:style>
  <w:style w:type="paragraph" w:styleId="17">
    <w:name w:val="Balloon Text"/>
    <w:basedOn w:val="1"/>
    <w:link w:val="47"/>
    <w:unhideWhenUsed/>
    <w:qFormat/>
    <w:uiPriority w:val="0"/>
    <w:rPr>
      <w:rFonts w:ascii="Calibri" w:hAnsi="Calibri" w:cs="Times New Roman"/>
      <w:sz w:val="18"/>
      <w:szCs w:val="18"/>
    </w:rPr>
  </w:style>
  <w:style w:type="paragraph" w:styleId="18">
    <w:name w:val="footer"/>
    <w:basedOn w:val="1"/>
    <w:link w:val="48"/>
    <w:unhideWhenUsed/>
    <w:qFormat/>
    <w:uiPriority w:val="99"/>
    <w:pPr>
      <w:tabs>
        <w:tab w:val="center" w:pos="4153"/>
        <w:tab w:val="right" w:pos="8306"/>
      </w:tabs>
      <w:snapToGrid w:val="0"/>
    </w:pPr>
    <w:rPr>
      <w:rFonts w:ascii="Calibri" w:hAnsi="Calibri" w:cs="Times New Roman"/>
      <w:kern w:val="2"/>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ind w:left="1260" w:leftChars="600"/>
    </w:pPr>
    <w:rPr>
      <w:rFonts w:ascii="Calibri" w:hAnsi="Calibri" w:cs="Times New Roman"/>
    </w:rPr>
  </w:style>
  <w:style w:type="paragraph" w:styleId="22">
    <w:name w:val="toc 6"/>
    <w:basedOn w:val="1"/>
    <w:next w:val="1"/>
    <w:unhideWhenUsed/>
    <w:qFormat/>
    <w:uiPriority w:val="39"/>
    <w:pPr>
      <w:ind w:left="2100" w:leftChars="1000"/>
    </w:pPr>
    <w:rPr>
      <w:rFonts w:ascii="Calibri" w:hAnsi="Calibri" w:cs="Times New Roman"/>
    </w:rPr>
  </w:style>
  <w:style w:type="paragraph" w:styleId="23">
    <w:name w:val="toc 2"/>
    <w:basedOn w:val="1"/>
    <w:next w:val="1"/>
    <w:unhideWhenUsed/>
    <w:qFormat/>
    <w:uiPriority w:val="39"/>
    <w:pPr>
      <w:ind w:left="420" w:leftChars="200"/>
    </w:pPr>
    <w:rPr>
      <w:rFonts w:ascii="Calibri" w:hAnsi="Calibri" w:cs="Times New Roman"/>
    </w:rPr>
  </w:style>
  <w:style w:type="paragraph" w:styleId="24">
    <w:name w:val="toc 9"/>
    <w:basedOn w:val="1"/>
    <w:next w:val="1"/>
    <w:unhideWhenUsed/>
    <w:qFormat/>
    <w:uiPriority w:val="39"/>
    <w:pPr>
      <w:ind w:left="3360" w:leftChars="1600"/>
    </w:pPr>
    <w:rPr>
      <w:rFonts w:ascii="Calibri" w:hAnsi="Calibri" w:cs="Times New Roman"/>
    </w:rPr>
  </w:style>
  <w:style w:type="paragraph" w:styleId="25">
    <w:name w:val="Body Text 2"/>
    <w:basedOn w:val="1"/>
    <w:qFormat/>
    <w:uiPriority w:val="0"/>
    <w:pPr>
      <w:spacing w:after="120" w:line="480" w:lineRule="auto"/>
    </w:pPr>
  </w:style>
  <w:style w:type="paragraph" w:styleId="26">
    <w:name w:val="Normal (Web)"/>
    <w:basedOn w:val="1"/>
    <w:next w:val="1"/>
    <w:unhideWhenUsed/>
    <w:qFormat/>
    <w:uiPriority w:val="0"/>
    <w:pPr>
      <w:tabs>
        <w:tab w:val="right" w:leader="dot" w:pos="8505"/>
      </w:tabs>
      <w:spacing w:line="360" w:lineRule="auto"/>
    </w:pPr>
    <w:rPr>
      <w:color w:val="1F497D"/>
      <w:sz w:val="36"/>
    </w:rPr>
  </w:style>
  <w:style w:type="paragraph" w:styleId="27">
    <w:name w:val="Title"/>
    <w:basedOn w:val="1"/>
    <w:next w:val="1"/>
    <w:link w:val="50"/>
    <w:qFormat/>
    <w:uiPriority w:val="0"/>
    <w:pPr>
      <w:widowControl w:val="0"/>
      <w:spacing w:before="240" w:after="60"/>
      <w:jc w:val="center"/>
      <w:outlineLvl w:val="0"/>
    </w:pPr>
    <w:rPr>
      <w:rFonts w:ascii="Cambria" w:hAnsi="Cambria" w:eastAsia="等线" w:cs="Times New Roman"/>
      <w:b/>
      <w:bCs/>
      <w:kern w:val="2"/>
      <w:sz w:val="32"/>
      <w:szCs w:val="32"/>
    </w:rPr>
  </w:style>
  <w:style w:type="paragraph" w:styleId="28">
    <w:name w:val="annotation subject"/>
    <w:basedOn w:val="10"/>
    <w:next w:val="10"/>
    <w:link w:val="51"/>
    <w:unhideWhenUsed/>
    <w:qFormat/>
    <w:uiPriority w:val="99"/>
    <w:rPr>
      <w:b/>
      <w:bCs/>
    </w:rPr>
  </w:style>
  <w:style w:type="paragraph" w:styleId="29">
    <w:name w:val="Body Text First Indent"/>
    <w:basedOn w:val="11"/>
    <w:unhideWhenUsed/>
    <w:qFormat/>
    <w:uiPriority w:val="99"/>
    <w:pPr>
      <w:tabs>
        <w:tab w:val="left" w:pos="567"/>
      </w:tabs>
      <w:spacing w:after="120"/>
      <w:ind w:firstLine="420" w:firstLineChars="100"/>
    </w:pPr>
    <w:rPr>
      <w:rFonts w:ascii="Times New Roman" w:hAnsi="Times New Roman"/>
      <w:sz w:val="21"/>
    </w:rPr>
  </w:style>
  <w:style w:type="paragraph" w:styleId="30">
    <w:name w:val="Body Text First Indent 2"/>
    <w:basedOn w:val="12"/>
    <w:next w:val="1"/>
    <w:qFormat/>
    <w:uiPriority w:val="0"/>
    <w:pPr>
      <w:ind w:firstLine="420" w:firstLineChars="200"/>
    </w:p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Hyperlink"/>
    <w:qFormat/>
    <w:uiPriority w:val="99"/>
    <w:rPr>
      <w:color w:val="0000FF"/>
      <w:u w:val="single"/>
    </w:rPr>
  </w:style>
  <w:style w:type="character" w:styleId="37">
    <w:name w:val="HTML Code"/>
    <w:qFormat/>
    <w:uiPriority w:val="0"/>
    <w:rPr>
      <w:rFonts w:ascii="Courier New" w:hAnsi="Courier New" w:cs="Courier New"/>
      <w:sz w:val="20"/>
      <w:szCs w:val="20"/>
    </w:rPr>
  </w:style>
  <w:style w:type="character" w:styleId="38">
    <w:name w:val="annotation reference"/>
    <w:unhideWhenUsed/>
    <w:qFormat/>
    <w:uiPriority w:val="99"/>
    <w:rPr>
      <w:sz w:val="21"/>
      <w:szCs w:val="21"/>
    </w:rPr>
  </w:style>
  <w:style w:type="character" w:customStyle="1" w:styleId="39">
    <w:name w:val="标题 1 字符"/>
    <w:link w:val="2"/>
    <w:qFormat/>
    <w:uiPriority w:val="0"/>
    <w:rPr>
      <w:b/>
      <w:bCs/>
      <w:kern w:val="44"/>
      <w:sz w:val="44"/>
      <w:szCs w:val="44"/>
    </w:rPr>
  </w:style>
  <w:style w:type="character" w:customStyle="1" w:styleId="40">
    <w:name w:val="标题 2 字符"/>
    <w:link w:val="3"/>
    <w:qFormat/>
    <w:uiPriority w:val="0"/>
    <w:rPr>
      <w:rFonts w:ascii="Arial" w:hAnsi="Arial" w:eastAsia="黑体"/>
      <w:b/>
      <w:sz w:val="30"/>
    </w:rPr>
  </w:style>
  <w:style w:type="character" w:customStyle="1" w:styleId="41">
    <w:name w:val="正文缩进 字符"/>
    <w:link w:val="7"/>
    <w:qFormat/>
    <w:uiPriority w:val="0"/>
    <w:rPr>
      <w:rFonts w:ascii="宋体" w:hAnsi="Times New Roman"/>
      <w:sz w:val="24"/>
    </w:rPr>
  </w:style>
  <w:style w:type="character" w:customStyle="1" w:styleId="42">
    <w:name w:val="标题 3 字符"/>
    <w:link w:val="4"/>
    <w:semiHidden/>
    <w:qFormat/>
    <w:uiPriority w:val="0"/>
    <w:rPr>
      <w:rFonts w:ascii="Times New Roman" w:hAnsi="Times New Roman"/>
      <w:b/>
      <w:bCs/>
      <w:kern w:val="2"/>
      <w:sz w:val="32"/>
      <w:szCs w:val="32"/>
    </w:rPr>
  </w:style>
  <w:style w:type="character" w:customStyle="1" w:styleId="43">
    <w:name w:val="文档结构图 字符"/>
    <w:link w:val="8"/>
    <w:qFormat/>
    <w:uiPriority w:val="99"/>
    <w:rPr>
      <w:rFonts w:ascii="宋体" w:hAnsi="Times New Roman"/>
      <w:kern w:val="2"/>
      <w:sz w:val="18"/>
      <w:szCs w:val="18"/>
    </w:rPr>
  </w:style>
  <w:style w:type="character" w:customStyle="1" w:styleId="44">
    <w:name w:val="批注文字 字符"/>
    <w:link w:val="10"/>
    <w:qFormat/>
    <w:uiPriority w:val="99"/>
    <w:rPr>
      <w:kern w:val="2"/>
      <w:sz w:val="21"/>
      <w:szCs w:val="22"/>
    </w:rPr>
  </w:style>
  <w:style w:type="character" w:customStyle="1" w:styleId="45">
    <w:name w:val="正文文本 字符"/>
    <w:link w:val="11"/>
    <w:qFormat/>
    <w:uiPriority w:val="1"/>
    <w:rPr>
      <w:rFonts w:ascii="宋体" w:hAnsi="宋体" w:cs="宋体"/>
      <w:sz w:val="24"/>
      <w:szCs w:val="24"/>
    </w:rPr>
  </w:style>
  <w:style w:type="character" w:customStyle="1" w:styleId="46">
    <w:name w:val="纯文本 字符"/>
    <w:link w:val="15"/>
    <w:qFormat/>
    <w:uiPriority w:val="0"/>
    <w:rPr>
      <w:rFonts w:ascii="宋体" w:hAnsi="Courier New"/>
      <w:kern w:val="2"/>
      <w:sz w:val="21"/>
    </w:rPr>
  </w:style>
  <w:style w:type="character" w:customStyle="1" w:styleId="47">
    <w:name w:val="批注框文本 字符"/>
    <w:link w:val="17"/>
    <w:qFormat/>
    <w:uiPriority w:val="0"/>
    <w:rPr>
      <w:sz w:val="18"/>
      <w:szCs w:val="18"/>
    </w:rPr>
  </w:style>
  <w:style w:type="character" w:customStyle="1" w:styleId="48">
    <w:name w:val="页脚 字符"/>
    <w:link w:val="18"/>
    <w:qFormat/>
    <w:uiPriority w:val="99"/>
    <w:rPr>
      <w:kern w:val="2"/>
      <w:sz w:val="18"/>
      <w:szCs w:val="18"/>
    </w:rPr>
  </w:style>
  <w:style w:type="character" w:customStyle="1" w:styleId="49">
    <w:name w:val="页眉 字符"/>
    <w:link w:val="19"/>
    <w:qFormat/>
    <w:uiPriority w:val="99"/>
    <w:rPr>
      <w:kern w:val="2"/>
      <w:sz w:val="18"/>
      <w:szCs w:val="18"/>
    </w:rPr>
  </w:style>
  <w:style w:type="character" w:customStyle="1" w:styleId="50">
    <w:name w:val="标题 字符"/>
    <w:link w:val="27"/>
    <w:qFormat/>
    <w:uiPriority w:val="0"/>
    <w:rPr>
      <w:rFonts w:ascii="Cambria" w:hAnsi="Cambria" w:eastAsia="等线"/>
      <w:b/>
      <w:bCs/>
      <w:kern w:val="2"/>
      <w:sz w:val="32"/>
      <w:szCs w:val="32"/>
    </w:rPr>
  </w:style>
  <w:style w:type="character" w:customStyle="1" w:styleId="51">
    <w:name w:val="批注主题 字符"/>
    <w:link w:val="28"/>
    <w:qFormat/>
    <w:uiPriority w:val="99"/>
    <w:rPr>
      <w:b/>
      <w:bCs/>
      <w:kern w:val="2"/>
      <w:sz w:val="21"/>
      <w:szCs w:val="22"/>
    </w:rPr>
  </w:style>
  <w:style w:type="character" w:customStyle="1" w:styleId="52">
    <w:name w:val="页眉 Char1"/>
    <w:semiHidden/>
    <w:qFormat/>
    <w:uiPriority w:val="99"/>
    <w:rPr>
      <w:rFonts w:ascii="宋体" w:hAnsi="宋体" w:eastAsia="宋体" w:cs="宋体"/>
      <w:kern w:val="0"/>
      <w:sz w:val="18"/>
      <w:szCs w:val="18"/>
    </w:rPr>
  </w:style>
  <w:style w:type="character" w:customStyle="1" w:styleId="53">
    <w:name w:val="页脚 Char1"/>
    <w:semiHidden/>
    <w:qFormat/>
    <w:uiPriority w:val="99"/>
    <w:rPr>
      <w:rFonts w:ascii="宋体" w:hAnsi="宋体" w:eastAsia="宋体" w:cs="宋体"/>
      <w:kern w:val="0"/>
      <w:sz w:val="18"/>
      <w:szCs w:val="18"/>
    </w:rPr>
  </w:style>
  <w:style w:type="character" w:customStyle="1" w:styleId="54">
    <w:name w:val="批注主题 Char1"/>
    <w:semiHidden/>
    <w:qFormat/>
    <w:uiPriority w:val="99"/>
    <w:rPr>
      <w:rFonts w:ascii="宋体" w:hAnsi="宋体" w:eastAsia="宋体" w:cs="宋体"/>
      <w:b/>
      <w:bCs/>
      <w:kern w:val="0"/>
      <w:sz w:val="24"/>
      <w:szCs w:val="24"/>
    </w:rPr>
  </w:style>
  <w:style w:type="character" w:customStyle="1" w:styleId="55">
    <w:name w:val="表 字符"/>
    <w:link w:val="56"/>
    <w:qFormat/>
    <w:uiPriority w:val="0"/>
    <w:rPr>
      <w:rFonts w:ascii="宋体" w:hAnsi="宋体"/>
      <w:kern w:val="2"/>
      <w:sz w:val="28"/>
      <w:szCs w:val="22"/>
    </w:rPr>
  </w:style>
  <w:style w:type="paragraph" w:customStyle="1" w:styleId="56">
    <w:name w:val="表"/>
    <w:basedOn w:val="1"/>
    <w:link w:val="55"/>
    <w:qFormat/>
    <w:uiPriority w:val="0"/>
    <w:pPr>
      <w:widowControl w:val="0"/>
      <w:spacing w:line="360" w:lineRule="auto"/>
      <w:jc w:val="center"/>
    </w:pPr>
    <w:rPr>
      <w:rFonts w:cs="Times New Roman"/>
      <w:kern w:val="2"/>
      <w:sz w:val="28"/>
      <w:szCs w:val="22"/>
    </w:rPr>
  </w:style>
  <w:style w:type="character" w:customStyle="1" w:styleId="57">
    <w:name w:val="文档结构图 Char1"/>
    <w:semiHidden/>
    <w:qFormat/>
    <w:uiPriority w:val="99"/>
    <w:rPr>
      <w:rFonts w:ascii="宋体" w:hAnsi="宋体" w:eastAsia="宋体" w:cs="宋体"/>
      <w:kern w:val="0"/>
      <w:sz w:val="18"/>
      <w:szCs w:val="18"/>
    </w:rPr>
  </w:style>
  <w:style w:type="character" w:customStyle="1" w:styleId="58">
    <w:name w:val="param-name"/>
    <w:qFormat/>
    <w:uiPriority w:val="0"/>
  </w:style>
  <w:style w:type="character" w:customStyle="1" w:styleId="59">
    <w:name w:val="批注框文本 Char1"/>
    <w:semiHidden/>
    <w:qFormat/>
    <w:uiPriority w:val="99"/>
    <w:rPr>
      <w:rFonts w:ascii="宋体" w:hAnsi="宋体" w:eastAsia="宋体" w:cs="宋体"/>
      <w:kern w:val="0"/>
      <w:sz w:val="18"/>
      <w:szCs w:val="18"/>
    </w:rPr>
  </w:style>
  <w:style w:type="character" w:customStyle="1" w:styleId="60">
    <w:name w:val="apple-style-span"/>
    <w:qFormat/>
    <w:uiPriority w:val="0"/>
  </w:style>
  <w:style w:type="character" w:customStyle="1" w:styleId="61">
    <w:name w:val="批注文字 Char1"/>
    <w:semiHidden/>
    <w:qFormat/>
    <w:uiPriority w:val="99"/>
    <w:rPr>
      <w:rFonts w:ascii="宋体" w:hAnsi="宋体" w:eastAsia="宋体" w:cs="宋体"/>
      <w:kern w:val="0"/>
      <w:sz w:val="24"/>
      <w:szCs w:val="24"/>
    </w:rPr>
  </w:style>
  <w:style w:type="paragraph" w:customStyle="1" w:styleId="62">
    <w:name w:val="Table Text Char"/>
    <w:qFormat/>
    <w:uiPriority w:val="0"/>
    <w:pPr>
      <w:snapToGrid w:val="0"/>
      <w:spacing w:before="80" w:after="80"/>
    </w:pPr>
    <w:rPr>
      <w:rFonts w:ascii="Arial" w:hAnsi="Arial" w:eastAsia="宋体" w:cs="Times New Roman"/>
      <w:sz w:val="18"/>
      <w:lang w:val="en-US" w:eastAsia="zh-CN" w:bidi="ar-SA"/>
    </w:rPr>
  </w:style>
  <w:style w:type="paragraph" w:styleId="63">
    <w:name w:val="List Paragraph"/>
    <w:basedOn w:val="1"/>
    <w:link w:val="64"/>
    <w:qFormat/>
    <w:uiPriority w:val="99"/>
    <w:pPr>
      <w:ind w:firstLine="420" w:firstLineChars="200"/>
    </w:pPr>
  </w:style>
  <w:style w:type="character" w:customStyle="1" w:styleId="64">
    <w:name w:val="列表段落 字符"/>
    <w:link w:val="63"/>
    <w:qFormat/>
    <w:uiPriority w:val="99"/>
    <w:rPr>
      <w:rFonts w:ascii="宋体" w:hAnsi="宋体" w:cs="宋体"/>
      <w:sz w:val="24"/>
      <w:szCs w:val="24"/>
    </w:rPr>
  </w:style>
  <w:style w:type="paragraph" w:customStyle="1" w:styleId="65">
    <w:name w:val="_Style 58"/>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66">
    <w:name w:val="Table Paragraph"/>
    <w:basedOn w:val="1"/>
    <w:qFormat/>
    <w:uiPriority w:val="1"/>
    <w:pPr>
      <w:widowControl w:val="0"/>
      <w:autoSpaceDE w:val="0"/>
      <w:autoSpaceDN w:val="0"/>
    </w:pPr>
    <w:rPr>
      <w:sz w:val="22"/>
      <w:szCs w:val="22"/>
    </w:rPr>
  </w:style>
  <w:style w:type="paragraph" w:customStyle="1" w:styleId="67">
    <w:name w:val="Char"/>
    <w:basedOn w:val="8"/>
    <w:qFormat/>
    <w:uiPriority w:val="0"/>
    <w:pPr>
      <w:shd w:val="clear" w:color="auto" w:fill="000080"/>
    </w:pPr>
    <w:rPr>
      <w:rFonts w:ascii="Times New Roman"/>
      <w:sz w:val="21"/>
      <w:szCs w:val="20"/>
    </w:rPr>
  </w:style>
  <w:style w:type="paragraph" w:customStyle="1" w:styleId="68">
    <w:name w:val="Char Char Char"/>
    <w:basedOn w:val="1"/>
    <w:qFormat/>
    <w:uiPriority w:val="0"/>
    <w:rPr>
      <w:rFonts w:ascii="Tahoma" w:hAnsi="Tahoma"/>
      <w:szCs w:val="20"/>
    </w:rPr>
  </w:style>
  <w:style w:type="paragraph" w:customStyle="1" w:styleId="69">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cs="Times New Roman"/>
      <w:sz w:val="21"/>
      <w:szCs w:val="20"/>
    </w:rPr>
  </w:style>
  <w:style w:type="paragraph" w:customStyle="1" w:styleId="70">
    <w:name w:val="_Style 63"/>
    <w:unhideWhenUsed/>
    <w:qFormat/>
    <w:uiPriority w:val="99"/>
    <w:rPr>
      <w:rFonts w:ascii="宋体" w:hAnsi="宋体" w:eastAsia="宋体" w:cs="宋体"/>
      <w:sz w:val="24"/>
      <w:szCs w:val="24"/>
      <w:lang w:val="en-US" w:eastAsia="zh-CN" w:bidi="ar-SA"/>
    </w:rPr>
  </w:style>
  <w:style w:type="table" w:customStyle="1" w:styleId="7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72">
    <w:name w:val="黑列表"/>
    <w:basedOn w:val="1"/>
    <w:qFormat/>
    <w:uiPriority w:val="0"/>
    <w:pPr>
      <w:numPr>
        <w:ilvl w:val="0"/>
        <w:numId w:val="1"/>
      </w:numPr>
      <w:tabs>
        <w:tab w:val="left" w:pos="482"/>
      </w:tabs>
      <w:adjustRightInd w:val="0"/>
      <w:spacing w:line="300" w:lineRule="auto"/>
    </w:pPr>
    <w:rPr>
      <w:rFonts w:ascii="Times New Roman" w:hAnsi="Times New Roman" w:cs="Times New Roman"/>
      <w:szCs w:val="20"/>
    </w:rPr>
  </w:style>
  <w:style w:type="character" w:customStyle="1" w:styleId="73">
    <w:name w:val="纯文本 Char3"/>
    <w:qFormat/>
    <w:uiPriority w:val="0"/>
    <w:rPr>
      <w:rFonts w:ascii="宋体" w:hAnsi="Courier New" w:eastAsia="宋体"/>
      <w:kern w:val="2"/>
      <w:sz w:val="21"/>
      <w:lang w:val="en-US" w:eastAsia="zh-CN" w:bidi="ar-SA"/>
    </w:rPr>
  </w:style>
  <w:style w:type="paragraph" w:customStyle="1" w:styleId="74">
    <w:name w:val="!正文"/>
    <w:basedOn w:val="1"/>
    <w:qFormat/>
    <w:uiPriority w:val="0"/>
    <w:pPr>
      <w:adjustRightInd w:val="0"/>
      <w:snapToGrid w:val="0"/>
      <w:spacing w:beforeLines="50" w:afterLines="50" w:line="360" w:lineRule="auto"/>
      <w:ind w:firstLine="200" w:firstLineChars="200"/>
    </w:pPr>
    <w:rPr>
      <w:rFonts w:asciiTheme="minorHAnsi" w:hAnsiTheme="minorHAnsi" w:eastAsiaTheme="minorEastAsia" w:cstheme="minorBidi"/>
      <w:szCs w:val="21"/>
      <w:lang w:bidi="en-US"/>
    </w:rPr>
  </w:style>
  <w:style w:type="paragraph" w:customStyle="1" w:styleId="75">
    <w:name w:val="列表段落1"/>
    <w:basedOn w:val="1"/>
    <w:qFormat/>
    <w:uiPriority w:val="34"/>
    <w:pPr>
      <w:ind w:firstLine="420" w:firstLineChars="200"/>
    </w:pPr>
    <w:rPr>
      <w:rFonts w:asciiTheme="minorHAnsi" w:hAnsiTheme="minorHAnsi" w:eastAsiaTheme="minorEastAsia" w:cstheme="minorBidi"/>
      <w:szCs w:val="22"/>
    </w:rPr>
  </w:style>
  <w:style w:type="paragraph" w:customStyle="1" w:styleId="76">
    <w:name w:val="标题1-jimmy"/>
    <w:basedOn w:val="1"/>
    <w:next w:val="1"/>
    <w:qFormat/>
    <w:uiPriority w:val="0"/>
    <w:pPr>
      <w:numPr>
        <w:ilvl w:val="0"/>
        <w:numId w:val="2"/>
      </w:numPr>
      <w:tabs>
        <w:tab w:val="left" w:pos="142"/>
      </w:tabs>
      <w:spacing w:before="160" w:after="160"/>
      <w:outlineLvl w:val="0"/>
    </w:pPr>
    <w:rPr>
      <w:b/>
      <w:sz w:val="36"/>
    </w:rPr>
  </w:style>
  <w:style w:type="paragraph" w:customStyle="1" w:styleId="77">
    <w:name w:val="标题2-jimmy"/>
    <w:basedOn w:val="1"/>
    <w:next w:val="1"/>
    <w:qFormat/>
    <w:uiPriority w:val="0"/>
    <w:pPr>
      <w:numPr>
        <w:ilvl w:val="1"/>
        <w:numId w:val="2"/>
      </w:numPr>
      <w:tabs>
        <w:tab w:val="left" w:pos="142"/>
        <w:tab w:val="left" w:pos="420"/>
      </w:tabs>
      <w:spacing w:before="120" w:after="120"/>
      <w:outlineLvl w:val="1"/>
    </w:pPr>
    <w:rPr>
      <w:b/>
      <w:sz w:val="32"/>
    </w:rPr>
  </w:style>
  <w:style w:type="paragraph" w:customStyle="1" w:styleId="78">
    <w:name w:val="标题3-jimmy"/>
    <w:basedOn w:val="1"/>
    <w:next w:val="1"/>
    <w:qFormat/>
    <w:uiPriority w:val="0"/>
    <w:pPr>
      <w:numPr>
        <w:ilvl w:val="2"/>
        <w:numId w:val="2"/>
      </w:numPr>
      <w:tabs>
        <w:tab w:val="left" w:pos="142"/>
        <w:tab w:val="left" w:pos="283"/>
      </w:tabs>
      <w:spacing w:before="120" w:after="120"/>
      <w:outlineLvl w:val="2"/>
    </w:pPr>
    <w:rPr>
      <w:b/>
      <w:sz w:val="30"/>
    </w:rPr>
  </w:style>
  <w:style w:type="paragraph" w:customStyle="1" w:styleId="79">
    <w:name w:val="正文缩进1"/>
    <w:basedOn w:val="1"/>
    <w:qFormat/>
    <w:uiPriority w:val="0"/>
    <w:pPr>
      <w:tabs>
        <w:tab w:val="left" w:pos="630"/>
      </w:tabs>
      <w:kinsoku w:val="0"/>
      <w:autoSpaceDE w:val="0"/>
      <w:autoSpaceDN w:val="0"/>
      <w:ind w:firstLine="420" w:firstLineChars="200"/>
    </w:pPr>
    <w:rPr>
      <w:rFonts w:ascii="Calibri" w:hAnsi="Calibri" w:eastAsia="黑体-简 细体" w:cs="黑体"/>
      <w:snapToGrid w:val="0"/>
      <w:color w:val="000000"/>
      <w:szCs w:val="21"/>
    </w:rPr>
  </w:style>
  <w:style w:type="paragraph" w:customStyle="1" w:styleId="80">
    <w:name w:val="标题4-jimmy"/>
    <w:basedOn w:val="1"/>
    <w:next w:val="1"/>
    <w:qFormat/>
    <w:uiPriority w:val="0"/>
    <w:pPr>
      <w:numPr>
        <w:ilvl w:val="3"/>
        <w:numId w:val="2"/>
      </w:numPr>
      <w:tabs>
        <w:tab w:val="left" w:pos="142"/>
      </w:tabs>
      <w:spacing w:before="80" w:after="80"/>
      <w:outlineLvl w:val="3"/>
    </w:pPr>
    <w:rPr>
      <w:b/>
      <w:sz w:val="28"/>
    </w:rPr>
  </w:style>
  <w:style w:type="paragraph" w:customStyle="1" w:styleId="81">
    <w:name w:val="宋体小四正文"/>
    <w:basedOn w:val="1"/>
    <w:qFormat/>
    <w:locked/>
    <w:uiPriority w:val="0"/>
    <w:pPr>
      <w:ind w:firstLine="200" w:firstLineChars="200"/>
    </w:pPr>
    <w:rPr>
      <w:rFonts w:cstheme="minorBidi"/>
      <w:color w:val="000000" w:themeColor="text1"/>
      <w:szCs w:val="28"/>
      <w14:textFill>
        <w14:solidFill>
          <w14:schemeClr w14:val="tx1"/>
        </w14:solidFill>
      </w14:textFill>
    </w:rPr>
  </w:style>
  <w:style w:type="character" w:customStyle="1" w:styleId="82">
    <w:name w:val="NormalCharacter"/>
    <w:qFormat/>
    <w:uiPriority w:val="0"/>
  </w:style>
  <w:style w:type="paragraph" w:customStyle="1" w:styleId="83">
    <w:name w:val="Heading3"/>
    <w:basedOn w:val="1"/>
    <w:next w:val="1"/>
    <w:qFormat/>
    <w:uiPriority w:val="0"/>
    <w:pPr>
      <w:keepNext/>
      <w:textAlignment w:val="baseline"/>
    </w:pPr>
    <w:rPr>
      <w:rFonts w:ascii="Calibri" w:hAnsi="Calibri"/>
      <w:sz w:val="28"/>
      <w:szCs w:val="28"/>
      <w:u w:val="single"/>
      <w:lang w:val="ru-RU" w:eastAsia="ru-RU"/>
    </w:rPr>
  </w:style>
  <w:style w:type="paragraph" w:customStyle="1" w:styleId="84">
    <w:name w:val="表内容"/>
    <w:basedOn w:val="1"/>
    <w:qFormat/>
    <w:uiPriority w:val="0"/>
    <w:pPr>
      <w:adjustRightInd w:val="0"/>
      <w:spacing w:line="300" w:lineRule="auto"/>
    </w:pPr>
    <w:rPr>
      <w:rFonts w:asciiTheme="minorHAnsi" w:hAnsiTheme="minorHAnsi" w:eastAsiaTheme="minorEastAsia" w:cstheme="minorBidi"/>
      <w:color w:val="000000"/>
      <w:szCs w:val="22"/>
    </w:rPr>
  </w:style>
  <w:style w:type="paragraph" w:customStyle="1" w:styleId="85">
    <w:name w:val="附录章标题"/>
    <w:next w:val="1"/>
    <w:qFormat/>
    <w:uiPriority w:val="0"/>
    <w:pPr>
      <w:numPr>
        <w:ilvl w:val="1"/>
        <w:numId w:val="3"/>
      </w:numPr>
      <w:wordWrap w:val="0"/>
      <w:overflowPunct w:val="0"/>
      <w:autoSpaceDE w:val="0"/>
      <w:spacing w:beforeLines="50"/>
      <w:jc w:val="both"/>
      <w:outlineLvl w:val="1"/>
    </w:pPr>
    <w:rPr>
      <w:rFonts w:ascii="黑体" w:hAnsi="Times New Roman" w:eastAsia="黑体" w:cs="Times New Roman"/>
      <w:kern w:val="21"/>
      <w:sz w:val="21"/>
      <w:lang w:val="en-US" w:eastAsia="zh-CN" w:bidi="ar-SA"/>
    </w:rPr>
  </w:style>
  <w:style w:type="paragraph" w:customStyle="1" w:styleId="86">
    <w:name w:val="txtb"/>
    <w:basedOn w:val="1"/>
    <w:qFormat/>
    <w:uiPriority w:val="0"/>
    <w:pPr>
      <w:spacing w:beforeAutospacing="1" w:after="100" w:afterAutospacing="1"/>
    </w:pPr>
    <w:rPr>
      <w:rFonts w:eastAsia="Arial Unicode MS" w:cs="Arial Unicode MS"/>
      <w:color w:val="000000"/>
      <w:sz w:val="18"/>
      <w:szCs w:val="18"/>
    </w:rPr>
  </w:style>
  <w:style w:type="paragraph" w:customStyle="1" w:styleId="87">
    <w:name w:val="修订1"/>
    <w:hidden/>
    <w:unhideWhenUsed/>
    <w:qFormat/>
    <w:uiPriority w:val="99"/>
    <w:rPr>
      <w:rFonts w:ascii="宋体" w:hAnsi="宋体" w:eastAsia="宋体" w:cs="宋体"/>
      <w:sz w:val="24"/>
      <w:szCs w:val="24"/>
      <w:lang w:val="en-US" w:eastAsia="zh-CN" w:bidi="ar-SA"/>
    </w:rPr>
  </w:style>
  <w:style w:type="character" w:customStyle="1" w:styleId="88">
    <w:name w:val="font21"/>
    <w:basedOn w:val="33"/>
    <w:qFormat/>
    <w:uiPriority w:val="0"/>
    <w:rPr>
      <w:rFonts w:hint="default" w:ascii="Calibri" w:hAnsi="Calibri" w:cs="Calibri"/>
      <w:color w:val="000000"/>
      <w:sz w:val="21"/>
      <w:szCs w:val="21"/>
      <w:u w:val="none"/>
    </w:rPr>
  </w:style>
  <w:style w:type="character" w:customStyle="1" w:styleId="89">
    <w:name w:val="font11"/>
    <w:basedOn w:val="33"/>
    <w:qFormat/>
    <w:uiPriority w:val="0"/>
    <w:rPr>
      <w:rFonts w:hint="eastAsia" w:ascii="宋体" w:hAnsi="宋体" w:eastAsia="宋体" w:cs="宋体"/>
      <w:color w:val="000000"/>
      <w:sz w:val="21"/>
      <w:szCs w:val="21"/>
      <w:u w:val="none"/>
    </w:rPr>
  </w:style>
  <w:style w:type="paragraph" w:customStyle="1" w:styleId="90">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64632F-D14F-4CE5-BA7E-1FED0886A72C}">
  <ds:schemaRefs/>
</ds:datastoreItem>
</file>

<file path=docProps/app.xml><?xml version="1.0" encoding="utf-8"?>
<Properties xmlns="http://schemas.openxmlformats.org/officeDocument/2006/extended-properties" xmlns:vt="http://schemas.openxmlformats.org/officeDocument/2006/docPropsVTypes">
  <Template>Normal.dotm</Template>
  <Pages>77</Pages>
  <Words>8049</Words>
  <Characters>8389</Characters>
  <Lines>279</Lines>
  <Paragraphs>78</Paragraphs>
  <TotalTime>75</TotalTime>
  <ScaleCrop>false</ScaleCrop>
  <LinksUpToDate>false</LinksUpToDate>
  <CharactersWithSpaces>8485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2025-07-02T01:13:00Z</dcterms:created>
  <dc:creator>51124</dc:creator>
  <cp:lastModifiedBy>任英杰</cp:lastModifiedBy>
  <cp:lastPrinted>2023-08-23T06:26:00Z</cp:lastPrinted>
  <dcterms:modified xsi:type="dcterms:W3CDTF">2025-07-15T08:48:08Z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83A0F2C0310140EE9D52A69326AA3406_13</vt:lpwstr>
  </property>
  <property fmtid="{D5CDD505-2E9C-101B-9397-08002B2CF9AE}" pid="4" name="KSOTemplateDocerSaveRecord">
    <vt:lpwstr>eyJoZGlkIjoiMWUxMDIxZWFmMGZlMWZhYzI0ODY1MjIxNDRmOTEyY2IiLCJ1c2VySWQiOiIxNjU3NTQ4ODE0In0=</vt:lpwstr>
  </property>
</Properties>
</file>